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73" w:rsidRDefault="00FC4E73" w:rsidP="00FC4E73">
      <w:pPr>
        <w:pBdr>
          <w:top w:val="single" w:sz="4" w:space="0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right"/>
        <w:rPr>
          <w:rFonts w:ascii="Arial" w:hAnsi="Arial" w:cs="Arial"/>
          <w:b/>
          <w:sz w:val="8"/>
          <w:szCs w:val="8"/>
        </w:rPr>
      </w:pPr>
    </w:p>
    <w:p w:rsidR="00FC4E73" w:rsidRPr="003B52FE" w:rsidRDefault="00FC4E73" w:rsidP="00FC4E73">
      <w:pPr>
        <w:pBdr>
          <w:top w:val="single" w:sz="4" w:space="0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01440D">
        <w:rPr>
          <w:rFonts w:ascii="Arial" w:hAnsi="Arial" w:cs="Arial"/>
          <w:b/>
          <w:sz w:val="28"/>
          <w:szCs w:val="28"/>
        </w:rPr>
        <w:t>ransatlantisches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/>
          <w:sz w:val="28"/>
          <w:szCs w:val="28"/>
        </w:rPr>
        <w:t>Freihandelsabkommen EU-USA</w:t>
      </w:r>
    </w:p>
    <w:p w:rsidR="00FC4E73" w:rsidRPr="00E60B97" w:rsidRDefault="00FC4E73" w:rsidP="00FC4E73">
      <w:pPr>
        <w:pBdr>
          <w:top w:val="single" w:sz="4" w:space="0" w:color="002060"/>
          <w:left w:val="single" w:sz="4" w:space="0" w:color="002060"/>
          <w:bottom w:val="single" w:sz="4" w:space="3" w:color="002060"/>
          <w:right w:val="single" w:sz="4" w:space="4" w:color="002060"/>
        </w:pBdr>
        <w:shd w:val="clear" w:color="auto" w:fill="002060"/>
        <w:spacing w:before="200"/>
        <w:jc w:val="center"/>
        <w:rPr>
          <w:rFonts w:ascii="Arial" w:hAnsi="Arial" w:cs="Arial"/>
          <w:b/>
          <w:sz w:val="8"/>
          <w:szCs w:val="8"/>
        </w:rPr>
      </w:pPr>
    </w:p>
    <w:p w:rsidR="00FC4E73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Die USA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und die </w:t>
      </w: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>Europäische Union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(EU) sind</w:t>
      </w: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nicht nur strategische Partner in wichtigen internationalen Fragen, sondern auch die 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>weltweit größten Handelspartner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. Weltweit gesehen, sind diese beiden </w:t>
      </w: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Regionen wirtschaftlich am stärksten miteinander verflochten. Für weitere Dynamik soll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nun </w:t>
      </w: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ein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umfassendes </w:t>
      </w:r>
      <w:r w:rsidRPr="006B2C5F">
        <w:rPr>
          <w:rFonts w:ascii="Arial" w:eastAsia="Times New Roman" w:hAnsi="Arial" w:cs="Times New Roman"/>
          <w:bCs/>
          <w:sz w:val="24"/>
          <w:szCs w:val="24"/>
          <w:lang w:eastAsia="de-DE"/>
        </w:rPr>
        <w:t>transatlantis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>ches Freihandelsabkommen</w:t>
      </w:r>
      <w:r w:rsidRPr="0019523A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sorgen. Die Verhandlungen darüber haben im Juli begonnen. </w:t>
      </w:r>
      <w:r w:rsidRPr="001F3FEF">
        <w:rPr>
          <w:rFonts w:ascii="Arial" w:eastAsia="Times New Roman" w:hAnsi="Arial" w:cs="Times New Roman"/>
          <w:bCs/>
          <w:sz w:val="24"/>
          <w:szCs w:val="24"/>
          <w:lang w:eastAsia="de-DE"/>
        </w:rPr>
        <w:t>Die transatlantische Handels- und Investitionspartnerschaft</w:t>
      </w:r>
      <w:r>
        <w:rPr>
          <w:lang w:val="de-DE"/>
        </w:rPr>
        <w:t xml:space="preserve">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287AB4">
        <w:rPr>
          <w:rFonts w:ascii="Arial" w:eastAsia="Times New Roman" w:hAnsi="Arial" w:cs="Times New Roman"/>
          <w:b/>
          <w:sz w:val="24"/>
          <w:szCs w:val="24"/>
          <w:lang w:eastAsia="de-DE"/>
        </w:rPr>
        <w:t>zwischen der EU und den USA</w:t>
      </w:r>
      <w:r w:rsidRPr="00D241C7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(</w:t>
      </w:r>
      <w:proofErr w:type="spellStart"/>
      <w:r w:rsidRPr="00D241C7">
        <w:rPr>
          <w:rFonts w:ascii="Arial" w:eastAsia="Times New Roman" w:hAnsi="Arial" w:cs="Times New Roman"/>
          <w:i/>
          <w:sz w:val="24"/>
          <w:szCs w:val="24"/>
          <w:lang w:eastAsia="de-DE"/>
        </w:rPr>
        <w:t>Transatlantic</w:t>
      </w:r>
      <w:proofErr w:type="spellEnd"/>
      <w:r w:rsidRPr="00D241C7">
        <w:rPr>
          <w:rFonts w:ascii="Arial" w:eastAsia="Times New Roman" w:hAnsi="Arial" w:cs="Times New Roman"/>
          <w:i/>
          <w:sz w:val="24"/>
          <w:szCs w:val="24"/>
          <w:lang w:eastAsia="de-DE"/>
        </w:rPr>
        <w:t xml:space="preserve"> Trade </w:t>
      </w:r>
      <w:proofErr w:type="spellStart"/>
      <w:r w:rsidRPr="00D241C7">
        <w:rPr>
          <w:rFonts w:ascii="Arial" w:eastAsia="Times New Roman" w:hAnsi="Arial" w:cs="Times New Roman"/>
          <w:i/>
          <w:sz w:val="24"/>
          <w:szCs w:val="24"/>
          <w:lang w:eastAsia="de-DE"/>
        </w:rPr>
        <w:t>and</w:t>
      </w:r>
      <w:proofErr w:type="spellEnd"/>
      <w:r w:rsidRPr="00D241C7">
        <w:rPr>
          <w:rFonts w:ascii="Arial" w:eastAsia="Times New Roman" w:hAnsi="Arial" w:cs="Times New Roman"/>
          <w:i/>
          <w:sz w:val="24"/>
          <w:szCs w:val="24"/>
          <w:lang w:eastAsia="de-DE"/>
        </w:rPr>
        <w:t xml:space="preserve"> Investment </w:t>
      </w:r>
      <w:proofErr w:type="spellStart"/>
      <w:r w:rsidRPr="00D241C7">
        <w:rPr>
          <w:rFonts w:ascii="Arial" w:eastAsia="Times New Roman" w:hAnsi="Arial" w:cs="Times New Roman"/>
          <w:i/>
          <w:sz w:val="24"/>
          <w:szCs w:val="24"/>
          <w:lang w:eastAsia="de-DE"/>
        </w:rPr>
        <w:t>Partnership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, </w:t>
      </w:r>
      <w:r w:rsidRPr="00D241C7">
        <w:rPr>
          <w:rFonts w:ascii="Arial" w:eastAsia="Times New Roman" w:hAnsi="Arial" w:cs="Times New Roman"/>
          <w:sz w:val="24"/>
          <w:szCs w:val="24"/>
          <w:lang w:eastAsia="de-DE"/>
        </w:rPr>
        <w:t xml:space="preserve">TTIP)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soll Handel, Investitionen, technische Standards und Normen umfassen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 Das Abkommen führt somit zur Schaffung eines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neuen transatlantischen Wirtschaftsraum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s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für rund 800 Millionen Menschen auf beiden Seiten des Atlantiks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FC4E73" w:rsidRPr="008F2D3B" w:rsidRDefault="00FC4E73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Welche positiven Auswirkungen erhofft sich die EU von einem </w:t>
      </w:r>
      <w:r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Freihandels- und Invest</w:t>
      </w: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itionsabkommen mit den USA?</w:t>
      </w:r>
    </w:p>
    <w:p w:rsidR="00FC4E73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Die EU und die USA sind die </w:t>
      </w:r>
      <w:r w:rsidRPr="00560006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weltweit größten Handelspartner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: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 w:rsidRPr="0020433A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täglich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werden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 w:rsidRPr="00560006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Waren und Dienstleistungen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im Werte von rd. </w:t>
      </w:r>
      <w:r w:rsidRPr="00560006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2,6 </w:t>
      </w:r>
      <w:proofErr w:type="spellStart"/>
      <w:r w:rsidRPr="00560006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Mrd</w:t>
      </w:r>
      <w:proofErr w:type="spellEnd"/>
      <w:r w:rsidRPr="00560006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 US-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Dollar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aus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>getauscht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Auch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gegenseitige </w:t>
      </w:r>
      <w:r w:rsidRPr="00C12DCF">
        <w:rPr>
          <w:rFonts w:ascii="Arial" w:eastAsia="Times New Roman" w:hAnsi="Arial" w:cs="Times New Roman"/>
          <w:b/>
          <w:sz w:val="24"/>
          <w:szCs w:val="24"/>
          <w:lang w:eastAsia="de-DE"/>
        </w:rPr>
        <w:t>Investitionen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tragen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zur Verflechtung der Volkswirtschaften bei.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So hielten die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EU-Mitgliedstaaten Ende 2011 ca. 1.573 Mrd. US-Dollar an Investitionsbeständen in den USA</w:t>
      </w:r>
      <w:r w:rsidRPr="005645CE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(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>die EU ist größter Investor in den USA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)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, die US-Direktinvestitionen in der EU betrugen 2.094 </w:t>
      </w:r>
      <w:proofErr w:type="spellStart"/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Mrd</w:t>
      </w:r>
      <w:proofErr w:type="spellEnd"/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US-Dollar.</w:t>
      </w:r>
    </w:p>
    <w:p w:rsidR="00FC4E73" w:rsidRPr="0089729D" w:rsidRDefault="00FC4E73" w:rsidP="00FC4E73">
      <w:pPr>
        <w:spacing w:after="120"/>
        <w:jc w:val="both"/>
        <w:rPr>
          <w:rFonts w:ascii="Arial" w:eastAsia="Times New Roman" w:hAnsi="Arial" w:cs="Times New Roman"/>
          <w:bCs/>
          <w:sz w:val="24"/>
          <w:szCs w:val="24"/>
          <w:lang w:eastAsia="de-DE"/>
        </w:rPr>
      </w:pP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Die Europäische Kommission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(EK) 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geht davon aus, dass sich ein umfassendes und ambitioniertes Abkommen zwischen der EU und den USA bis 2027 in einem </w:t>
      </w:r>
      <w:r w:rsidRPr="00BA30F4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jährlichen BIP-Zuwachs von insgesamt 0,5 %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 w:rsidRPr="00BA30F4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für die EU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und 0,4 % für die USA niederschl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>agen würde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. Dies entspräche </w:t>
      </w:r>
      <w:r w:rsidRPr="00BA30F4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jährlich zusätzlich 86 Mrd. Euro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für die EU-Wirtschaft und € 65 Mrd. für die US-Wirtschaft. </w:t>
      </w:r>
    </w:p>
    <w:p w:rsidR="00FC4E73" w:rsidRDefault="00FC4E73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Eine Studie des </w:t>
      </w:r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 xml:space="preserve">Center </w:t>
      </w:r>
      <w:proofErr w:type="spellStart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>for</w:t>
      </w:r>
      <w:proofErr w:type="spellEnd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>Economic</w:t>
      </w:r>
      <w:proofErr w:type="spellEnd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>Poliy</w:t>
      </w:r>
      <w:proofErr w:type="spellEnd"/>
      <w:r w:rsidRPr="00AC41D9">
        <w:rPr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 xml:space="preserve"> Research</w:t>
      </w:r>
      <w:r>
        <w:rPr>
          <w:rStyle w:val="Funotenzeichen"/>
          <w:rFonts w:ascii="Arial" w:eastAsia="Times New Roman" w:hAnsi="Arial" w:cs="Times New Roman"/>
          <w:i/>
          <w:sz w:val="24"/>
          <w:szCs w:val="24"/>
          <w:u w:val="single"/>
          <w:lang w:eastAsia="de-DE"/>
        </w:rPr>
        <w:t xml:space="preserve"> </w:t>
      </w:r>
      <w:r w:rsidRPr="005E02AD">
        <w:rPr>
          <w:rFonts w:ascii="Arial" w:eastAsia="Times New Roman" w:hAnsi="Arial" w:cs="Times New Roman"/>
          <w:sz w:val="24"/>
          <w:szCs w:val="24"/>
          <w:lang w:eastAsia="de-DE"/>
        </w:rPr>
        <w:t>vom März 2013</w:t>
      </w:r>
      <w:r w:rsidRPr="007602FB">
        <w:rPr>
          <w:rFonts w:ascii="Arial" w:eastAsia="Times New Roman" w:hAnsi="Arial" w:cs="Times New Roman"/>
          <w:i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beziffert den 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 xml:space="preserve">wirtschaftlichen Nutzen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fü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>r die EU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sogar mit </w:t>
      </w:r>
      <w:r w:rsidRPr="005E02AD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119 Mrd. </w:t>
      </w:r>
      <w:r w:rsidRPr="00BA30F4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Euro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 w:rsidRPr="005E02AD">
        <w:rPr>
          <w:rFonts w:ascii="Arial" w:eastAsia="Times New Roman" w:hAnsi="Arial" w:cs="Times New Roman"/>
          <w:b/>
          <w:sz w:val="24"/>
          <w:szCs w:val="24"/>
          <w:lang w:eastAsia="de-DE"/>
        </w:rPr>
        <w:t>pro Jahr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und 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>für die USA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mit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95 Mrd. Euro pro Jahr. Anders formuliert bedeutet das ein zu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>sätzlich verfügbares Einkommen von 545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560006">
        <w:rPr>
          <w:rFonts w:ascii="Arial" w:eastAsia="Times New Roman" w:hAnsi="Arial" w:cs="Times New Roman"/>
          <w:bCs/>
          <w:sz w:val="24"/>
          <w:szCs w:val="24"/>
          <w:lang w:eastAsia="de-DE"/>
        </w:rPr>
        <w:t>Euro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 xml:space="preserve"> jährlich für eine vierköpfige Familie in der EU, und 6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55 </w:t>
      </w:r>
      <w:r w:rsidRPr="00560006">
        <w:rPr>
          <w:rFonts w:ascii="Arial" w:eastAsia="Times New Roman" w:hAnsi="Arial" w:cs="Times New Roman"/>
          <w:bCs/>
          <w:sz w:val="24"/>
          <w:szCs w:val="24"/>
          <w:lang w:eastAsia="de-DE"/>
        </w:rPr>
        <w:t>Euro</w:t>
      </w:r>
      <w:r w:rsidRPr="0089729D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für eine Familie in den USA. Die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 xml:space="preserve"> Einkommenserhöhungen resultieren aus verstärktem Handel. Die Exporte der EU in die USA würden um 28 %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steigen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>.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>80 % der gesamten möglichen Gewinne kommt von einer Reduktion von Kosten durch Bürokratie und Regulierung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infolge der</w:t>
      </w:r>
      <w:r w:rsidRPr="000B7445">
        <w:rPr>
          <w:rFonts w:ascii="Arial" w:eastAsia="Times New Roman" w:hAnsi="Arial" w:cs="Times New Roman"/>
          <w:sz w:val="24"/>
          <w:szCs w:val="24"/>
          <w:lang w:eastAsia="de-DE"/>
        </w:rPr>
        <w:t xml:space="preserve"> Reduktion von nicht-tarifären Handelsbarrieren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de-DE"/>
        </w:rPr>
        <w:t>Weiters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kann von positiven Auswirkungen auf den Arbeitsmarkt und auf den allgemeinen Wohlstand u.a. auch durch Preissenkungen </w:t>
      </w:r>
      <w:r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ausgegangen werden, so auch das Ergebnis einer Studie des </w:t>
      </w:r>
      <w:r w:rsidRPr="000B7445">
        <w:rPr>
          <w:rFonts w:ascii="Arial" w:eastAsia="Times New Roman" w:hAnsi="Arial" w:cs="Times New Roman"/>
          <w:sz w:val="24"/>
          <w:szCs w:val="24"/>
          <w:u w:val="single"/>
          <w:lang w:eastAsia="de-DE"/>
        </w:rPr>
        <w:t>ifo Instituts (Leibnitz-Institut für Wirtschaftsforschung</w:t>
      </w:r>
      <w:r>
        <w:rPr>
          <w:rFonts w:ascii="Arial" w:eastAsia="Times New Roman" w:hAnsi="Arial" w:cs="Times New Roman"/>
          <w:sz w:val="24"/>
          <w:szCs w:val="24"/>
          <w:u w:val="single"/>
          <w:lang w:eastAsia="de-DE"/>
        </w:rPr>
        <w:t>).</w:t>
      </w:r>
    </w:p>
    <w:p w:rsidR="00FC4E73" w:rsidRDefault="008E2A16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br/>
      </w:r>
      <w:r w:rsidR="00FC4E7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Wie profitiert Österreichs Wirtschaft von einem solchen</w:t>
      </w:r>
      <w:r w:rsidR="00FC4E73"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 Freihandels- und Investition</w:t>
      </w:r>
      <w:r w:rsidR="00FC4E7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sabkommen mit den USA?</w:t>
      </w:r>
    </w:p>
    <w:p w:rsidR="00FC4E73" w:rsidRDefault="00FC4E73" w:rsidP="00FC4E73">
      <w:pPr>
        <w:pStyle w:val="FreieForm"/>
        <w:spacing w:after="120"/>
        <w:jc w:val="both"/>
        <w:rPr>
          <w:rFonts w:ascii="Arial" w:eastAsia="Times New Roman" w:hAnsi="Arial"/>
          <w:color w:val="auto"/>
          <w:szCs w:val="24"/>
          <w:lang w:val="de-AT" w:eastAsia="de-DE"/>
        </w:rPr>
      </w:pP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>Für Österreich stellen die USA den drittwichtigsten Exportmarkt dar. Der Gesamtwert der österreichischen Exporte in die USA hat sich seit dem Jahr 2000 fast verdoppelt,</w:t>
      </w:r>
      <w:r w:rsidRPr="002C01E8">
        <w:rPr>
          <w:rFonts w:ascii="Arial" w:eastAsia="Times New Roman" w:hAnsi="Arial"/>
          <w:color w:val="auto"/>
          <w:szCs w:val="24"/>
          <w:highlight w:val="yellow"/>
          <w:lang w:val="de-AT" w:eastAsia="de-DE"/>
        </w:rPr>
        <w:t xml:space="preserve"> </w:t>
      </w: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>und auch die Direktinvestitionsbestände Österreichs in den USA haben sich seit dem Jahr 2000 mehr als verdoppelt.</w:t>
      </w:r>
      <w:r w:rsidRPr="005645CE"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</w:p>
    <w:p w:rsidR="00FC4E73" w:rsidRDefault="00FC4E73" w:rsidP="00FC4E73">
      <w:pPr>
        <w:pStyle w:val="FreieForm"/>
        <w:spacing w:after="120"/>
        <w:jc w:val="both"/>
        <w:rPr>
          <w:rFonts w:ascii="Arial" w:eastAsia="Times New Roman" w:hAnsi="Arial"/>
          <w:color w:val="auto"/>
          <w:szCs w:val="24"/>
          <w:lang w:val="de-AT" w:eastAsia="de-DE"/>
        </w:rPr>
      </w:pP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lastRenderedPageBreak/>
        <w:t xml:space="preserve">Ein Abkommen zwischen der EU und den USA hätte aufgrund der vergleichsweise großen Bedeutung der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US-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amerikanischen Wirtschaft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beachtliche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Auswirkungen auf Österreich. Die Senkung nicht-tarifärer Handelsbarrieren führt zu mehr Arbeitsproduktivität, höheren Löhnen und einem Anstieg der Beschäftigung um 0,6 % in Österreich. Das </w:t>
      </w:r>
      <w:proofErr w:type="gramStart"/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>wären</w:t>
      </w:r>
      <w:proofErr w:type="gramEnd"/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absolut betrachtet plus 20.800 unselbständig Beschäftigte</w:t>
      </w:r>
      <w:r>
        <w:rPr>
          <w:rFonts w:ascii="Arial" w:eastAsia="Times New Roman" w:hAnsi="Arial"/>
          <w:color w:val="auto"/>
          <w:szCs w:val="24"/>
          <w:lang w:val="de-AT" w:eastAsia="de-DE"/>
        </w:rPr>
        <w:t>, so eine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  <w:r w:rsidRPr="000B7445">
        <w:rPr>
          <w:rFonts w:ascii="Arial" w:eastAsia="Times New Roman" w:hAnsi="Arial"/>
          <w:color w:val="auto"/>
          <w:szCs w:val="24"/>
          <w:u w:val="single"/>
          <w:lang w:val="de-AT" w:eastAsia="de-DE"/>
        </w:rPr>
        <w:t xml:space="preserve">Studie des FIW (Forschungsschwerpunkt Internationale Wirtschaft) </w:t>
      </w:r>
      <w:r w:rsidRPr="007602FB">
        <w:rPr>
          <w:rFonts w:ascii="Arial" w:eastAsia="Times New Roman" w:hAnsi="Arial"/>
          <w:color w:val="auto"/>
          <w:szCs w:val="24"/>
          <w:lang w:val="de-AT" w:eastAsia="de-DE"/>
        </w:rPr>
        <w:t xml:space="preserve">im Auftrag des Bundesministeriums für Wirtschaft, Familie und Jugend 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vom 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>Jänner 2013</w:t>
      </w:r>
      <w:r>
        <w:rPr>
          <w:rFonts w:ascii="Arial" w:eastAsia="Times New Roman" w:hAnsi="Arial"/>
          <w:color w:val="auto"/>
          <w:szCs w:val="24"/>
          <w:lang w:val="de-AT" w:eastAsia="de-DE"/>
        </w:rPr>
        <w:t>. Die Studie geht davon aus, dass ein b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>ilaterale</w:t>
      </w:r>
      <w:r>
        <w:rPr>
          <w:rFonts w:ascii="Arial" w:eastAsia="Times New Roman" w:hAnsi="Arial"/>
          <w:color w:val="auto"/>
          <w:szCs w:val="24"/>
          <w:lang w:val="de-AT" w:eastAsia="de-DE"/>
        </w:rPr>
        <w:t>s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Freihandelsabkommen zwischen der EU und den USA einen Anstieg des österreichischen BIP von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1,75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% bewirken</w:t>
      </w:r>
      <w:r w:rsidRPr="00F02BC9"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>könnte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. Der größte Teil davon 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ergibt sich aus einer Steigerung der Investitionen, die ihrerseits auf einen Produktivitätsanstieg zurückzuführen sind. Der Grund für den starken Anstieg der Arbeitsproduktivität liegt in der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Beseitigung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der nicht-tarifären Handelsbarrieren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: 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>Firmen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 müssten sich nicht mehr wie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bisher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auf höhere regulatorische Anforderungen einstellen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, 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was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zu einer Senkung der Produktions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kosten und somit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auch der</w:t>
      </w:r>
      <w:r w:rsidRPr="000B7445">
        <w:rPr>
          <w:rFonts w:ascii="Arial" w:eastAsia="Times New Roman" w:hAnsi="Arial"/>
          <w:color w:val="auto"/>
          <w:szCs w:val="24"/>
          <w:lang w:val="de-AT" w:eastAsia="de-DE"/>
        </w:rPr>
        <w:t xml:space="preserve"> Preisen führ</w:t>
      </w:r>
      <w:r>
        <w:rPr>
          <w:rFonts w:ascii="Arial" w:eastAsia="Times New Roman" w:hAnsi="Arial"/>
          <w:color w:val="auto"/>
          <w:szCs w:val="24"/>
          <w:lang w:val="de-AT" w:eastAsia="de-DE"/>
        </w:rPr>
        <w:t>en würde.</w:t>
      </w:r>
    </w:p>
    <w:p w:rsidR="00FC4E73" w:rsidRDefault="008E2A16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br/>
      </w:r>
      <w:r w:rsidR="00FC4E73"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Wie </w:t>
      </w:r>
      <w:r w:rsidR="00FC4E7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wird</w:t>
      </w:r>
      <w:r w:rsidR="00FC4E73"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 de</w:t>
      </w:r>
      <w:r w:rsidR="00FC4E7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r</w:t>
      </w:r>
      <w:r w:rsidR="00FC4E73"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 weitere Verhandlungsverlauf ein</w:t>
      </w:r>
      <w:r w:rsidR="00FC4E7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geschätzt</w:t>
      </w:r>
      <w:r w:rsidR="00FC4E73"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?</w:t>
      </w:r>
    </w:p>
    <w:p w:rsidR="00FC4E73" w:rsidRPr="002A0275" w:rsidRDefault="00FC4E73" w:rsidP="00FC4E73">
      <w:pPr>
        <w:spacing w:after="1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D241C7">
        <w:rPr>
          <w:rFonts w:ascii="Arial" w:eastAsia="Times New Roman" w:hAnsi="Arial" w:cs="Times New Roman"/>
          <w:sz w:val="24"/>
          <w:szCs w:val="24"/>
          <w:lang w:eastAsia="de-DE"/>
        </w:rPr>
        <w:t xml:space="preserve">Auf einfache Verhandlungen stellt man sich vor allem aufgrund der auf beiden Seiten bestehenden hohen Erwartungshaltung nicht ein. Zentraler Verhandlungspunkt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wird </w:t>
      </w:r>
      <w:r w:rsidRPr="00D241C7">
        <w:rPr>
          <w:rFonts w:ascii="Arial" w:eastAsia="Times New Roman" w:hAnsi="Arial" w:cs="Times New Roman"/>
          <w:sz w:val="24"/>
          <w:szCs w:val="24"/>
          <w:lang w:eastAsia="de-DE"/>
        </w:rPr>
        <w:t xml:space="preserve">der Abbau </w:t>
      </w:r>
      <w:r w:rsidRPr="0060084F">
        <w:rPr>
          <w:rFonts w:ascii="Arial" w:eastAsia="Times New Roman" w:hAnsi="Arial" w:cs="Times New Roman"/>
          <w:b/>
          <w:sz w:val="24"/>
          <w:szCs w:val="24"/>
          <w:lang w:eastAsia="de-DE"/>
        </w:rPr>
        <w:t>nicht-tarifärer Handelshemmnisse</w:t>
      </w:r>
      <w:r w:rsidRPr="00D241C7">
        <w:rPr>
          <w:rFonts w:ascii="Arial" w:eastAsia="Times New Roman" w:hAnsi="Arial" w:cs="Times New Roman"/>
          <w:sz w:val="24"/>
          <w:szCs w:val="24"/>
          <w:lang w:eastAsia="de-DE"/>
        </w:rPr>
        <w:t xml:space="preserve"> sein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  <w:r w:rsidRPr="00277C94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Nicht-tarifäre Handelshemmnisse stellen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 Handelsbarrieren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dar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, die keine Zölle sind und aus divergierenden, oft historisch gewachsenen Regulierungssystemen resultieren. Auf diesem Gebiet bestehen allerdings </w:t>
      </w:r>
      <w:r w:rsidRPr="002A0275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unterschiedliche Vorstellungen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. </w:t>
      </w:r>
      <w:r w:rsidRPr="002A0275">
        <w:rPr>
          <w:rFonts w:ascii="Arial" w:eastAsia="Times New Roman" w:hAnsi="Arial" w:cs="Times New Roman"/>
          <w:bCs/>
          <w:sz w:val="24"/>
          <w:szCs w:val="24"/>
          <w:lang w:eastAsia="de-DE"/>
        </w:rPr>
        <w:t>Zu den</w:t>
      </w:r>
      <w:r w:rsidRPr="002A0275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 schwierigen Verhandlungsbereichen</w:t>
      </w:r>
      <w:r w:rsidRPr="002A0275">
        <w:rPr>
          <w:rFonts w:ascii="Arial" w:eastAsia="Times New Roman" w:hAnsi="Arial" w:cs="Times New Roman"/>
          <w:bCs/>
          <w:sz w:val="24"/>
          <w:szCs w:val="24"/>
          <w:lang w:eastAsia="de-DE"/>
        </w:rPr>
        <w:t xml:space="preserve"> zählen:</w:t>
      </w:r>
    </w:p>
    <w:p w:rsidR="00FC4E73" w:rsidRPr="002A0275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der </w:t>
      </w:r>
      <w:r w:rsidRPr="002A0275">
        <w:rPr>
          <w:rFonts w:ascii="Arial" w:hAnsi="Arial" w:cs="Arial"/>
          <w:b/>
          <w:bCs/>
        </w:rPr>
        <w:t xml:space="preserve">Agrarsektor: </w:t>
      </w:r>
      <w:r>
        <w:rPr>
          <w:rFonts w:ascii="Arial" w:hAnsi="Arial" w:cs="Arial"/>
        </w:rPr>
        <w:t>D</w:t>
      </w:r>
      <w:r w:rsidRPr="002A0275">
        <w:rPr>
          <w:rFonts w:ascii="Arial" w:hAnsi="Arial" w:cs="Arial"/>
        </w:rPr>
        <w:t>er großflächige Einsatz von Hormonen in der Tierzucht sowie die Oberflächenbehandlung von Frischfleisch wird von der EU abgelehnt</w:t>
      </w:r>
    </w:p>
    <w:p w:rsidR="00FC4E73" w:rsidRPr="002A0275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A0275">
        <w:rPr>
          <w:rFonts w:ascii="Arial" w:hAnsi="Arial" w:cs="Arial"/>
          <w:b/>
          <w:bCs/>
        </w:rPr>
        <w:t xml:space="preserve">Dienstleistungen: </w:t>
      </w:r>
      <w:r w:rsidRPr="00EC0FA1">
        <w:rPr>
          <w:rFonts w:ascii="Arial" w:hAnsi="Arial" w:cs="Arial"/>
          <w:bCs/>
        </w:rPr>
        <w:t>Die H</w:t>
      </w:r>
      <w:r w:rsidRPr="002A0275">
        <w:rPr>
          <w:rFonts w:ascii="Arial" w:hAnsi="Arial" w:cs="Arial"/>
          <w:bCs/>
        </w:rPr>
        <w:t xml:space="preserve">erausforderung ist, </w:t>
      </w:r>
      <w:r w:rsidRPr="002A0275">
        <w:rPr>
          <w:rFonts w:ascii="Arial" w:hAnsi="Arial" w:cs="Arial"/>
        </w:rPr>
        <w:t>sehr unterschiedlich regulierte Dienstleistungen wie Versicherungen oder Finanzprodukte zu harmonisieren</w:t>
      </w:r>
    </w:p>
    <w:p w:rsidR="00FC4E73" w:rsidRPr="002A0275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der </w:t>
      </w:r>
      <w:r w:rsidRPr="002A0275">
        <w:rPr>
          <w:rFonts w:ascii="Arial" w:hAnsi="Arial" w:cs="Arial"/>
          <w:b/>
          <w:bCs/>
        </w:rPr>
        <w:t xml:space="preserve">Autobau: </w:t>
      </w:r>
      <w:r>
        <w:rPr>
          <w:rFonts w:ascii="Arial" w:hAnsi="Arial" w:cs="Arial"/>
        </w:rPr>
        <w:t>U</w:t>
      </w:r>
      <w:r w:rsidRPr="002A0275">
        <w:rPr>
          <w:rFonts w:ascii="Arial" w:hAnsi="Arial" w:cs="Arial"/>
        </w:rPr>
        <w:t>nterschiedliche Regelungen und Normen führen dazu, dass bestimmte Modelle aus den USA in der EU (und umgekehrt) derzeit gar nicht angeboten werden;</w:t>
      </w:r>
    </w:p>
    <w:p w:rsidR="00FC4E73" w:rsidRPr="002A0275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</w:rPr>
      </w:pPr>
      <w:r w:rsidRPr="002A0275">
        <w:rPr>
          <w:rFonts w:ascii="Arial" w:hAnsi="Arial" w:cs="Arial"/>
          <w:b/>
          <w:bCs/>
          <w:color w:val="auto"/>
        </w:rPr>
        <w:t xml:space="preserve">öffentliche Aufträge: </w:t>
      </w:r>
      <w:r>
        <w:rPr>
          <w:rFonts w:ascii="Arial" w:hAnsi="Arial" w:cs="Arial"/>
          <w:color w:val="auto"/>
        </w:rPr>
        <w:t>W</w:t>
      </w:r>
      <w:r w:rsidRPr="002A0275">
        <w:rPr>
          <w:rFonts w:ascii="Arial" w:hAnsi="Arial" w:cs="Arial"/>
          <w:color w:val="auto"/>
        </w:rPr>
        <w:t xml:space="preserve">ährend die EU und die USA Vertragsstaaten des </w:t>
      </w:r>
      <w:r w:rsidRPr="00287AB4">
        <w:rPr>
          <w:rFonts w:ascii="Arial" w:hAnsi="Arial" w:cs="Arial"/>
          <w:i/>
          <w:color w:val="auto"/>
        </w:rPr>
        <w:t>Übereinkommens über das öffentliche Beschaffungswesen</w:t>
      </w:r>
      <w:r w:rsidRPr="002A0275">
        <w:rPr>
          <w:rFonts w:ascii="Arial" w:hAnsi="Arial" w:cs="Arial"/>
          <w:color w:val="auto"/>
        </w:rPr>
        <w:t xml:space="preserve"> im Rahmen der WTO sind, das die Teilnahme an öffentlichen Ausschreibungen erlaubt, sind einzelne US Bundesstaaten</w:t>
      </w:r>
      <w:r>
        <w:rPr>
          <w:rFonts w:ascii="Arial" w:hAnsi="Arial" w:cs="Arial"/>
          <w:color w:val="auto"/>
        </w:rPr>
        <w:t xml:space="preserve"> und </w:t>
      </w:r>
      <w:r w:rsidRPr="002A0275">
        <w:rPr>
          <w:rFonts w:ascii="Arial" w:hAnsi="Arial" w:cs="Arial"/>
          <w:color w:val="auto"/>
        </w:rPr>
        <w:t>Kommunen nicht an das Abkommen gebunden;</w:t>
      </w:r>
    </w:p>
    <w:p w:rsidR="00FC4E73" w:rsidRPr="002A0275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</w:rPr>
      </w:pPr>
      <w:r w:rsidRPr="002A0275">
        <w:rPr>
          <w:rFonts w:ascii="Arial" w:hAnsi="Arial" w:cs="Arial"/>
          <w:b/>
          <w:bCs/>
          <w:color w:val="auto"/>
        </w:rPr>
        <w:t xml:space="preserve">geistige Eigentumsrechte: </w:t>
      </w:r>
      <w:r>
        <w:rPr>
          <w:rFonts w:ascii="Arial" w:hAnsi="Arial" w:cs="Arial"/>
          <w:color w:val="auto"/>
        </w:rPr>
        <w:t>A</w:t>
      </w:r>
      <w:r w:rsidRPr="002A0275">
        <w:rPr>
          <w:rFonts w:ascii="Arial" w:hAnsi="Arial" w:cs="Arial"/>
          <w:color w:val="auto"/>
        </w:rPr>
        <w:t xml:space="preserve">uch hier werden aufgrund unterschiedlicher Systeme z.B. im Patentschutz, aber auch für Marken- und Urheberrechte sowie für den Schutz geografischer Herkunftsbezeichnungen komplexe Verhandlungen erwartet. </w:t>
      </w:r>
    </w:p>
    <w:p w:rsidR="00FC4E73" w:rsidRDefault="00FC4E73" w:rsidP="00FC4E73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die </w:t>
      </w:r>
      <w:r w:rsidRPr="00DB7A07">
        <w:rPr>
          <w:rFonts w:ascii="Arial" w:hAnsi="Arial" w:cs="Arial"/>
          <w:b/>
          <w:color w:val="auto"/>
        </w:rPr>
        <w:t>Pharmazie</w:t>
      </w:r>
      <w:r w:rsidRPr="00DB7A07">
        <w:rPr>
          <w:rFonts w:ascii="Arial" w:hAnsi="Arial" w:cs="Arial"/>
          <w:color w:val="auto"/>
        </w:rPr>
        <w:t xml:space="preserve">: </w:t>
      </w:r>
      <w:r>
        <w:rPr>
          <w:rFonts w:ascii="Arial" w:hAnsi="Arial" w:cs="Arial"/>
          <w:color w:val="auto"/>
        </w:rPr>
        <w:t>N</w:t>
      </w:r>
      <w:r w:rsidRPr="00DB7A07">
        <w:rPr>
          <w:rFonts w:ascii="Arial" w:hAnsi="Arial" w:cs="Arial"/>
          <w:color w:val="auto"/>
        </w:rPr>
        <w:t xml:space="preserve">eue Medikamente müssen sowohl in den USA als auch in der EU genehmigt werden. </w:t>
      </w:r>
      <w:r>
        <w:rPr>
          <w:rFonts w:ascii="Arial" w:hAnsi="Arial" w:cs="Arial"/>
          <w:color w:val="auto"/>
        </w:rPr>
        <w:t>Probleme</w:t>
      </w:r>
      <w:r w:rsidRPr="00DB7A0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ergeben</w:t>
      </w:r>
      <w:r w:rsidRPr="00DB7A07">
        <w:rPr>
          <w:rFonts w:ascii="Arial" w:hAnsi="Arial" w:cs="Arial"/>
          <w:color w:val="auto"/>
        </w:rPr>
        <w:t xml:space="preserve"> sich </w:t>
      </w:r>
      <w:r>
        <w:rPr>
          <w:rFonts w:ascii="Arial" w:hAnsi="Arial" w:cs="Arial"/>
          <w:color w:val="auto"/>
        </w:rPr>
        <w:t>derzeit in Zusammenhang mit der Frage,</w:t>
      </w:r>
      <w:r w:rsidRPr="00DB7A07">
        <w:rPr>
          <w:rFonts w:ascii="Arial" w:hAnsi="Arial" w:cs="Arial"/>
          <w:color w:val="auto"/>
        </w:rPr>
        <w:t xml:space="preserve"> ob die </w:t>
      </w:r>
      <w:r>
        <w:rPr>
          <w:rFonts w:ascii="Arial" w:hAnsi="Arial" w:cs="Arial"/>
          <w:color w:val="auto"/>
        </w:rPr>
        <w:t xml:space="preserve">relativ unabhängig agierenden Regulierungsbehörden, beispielsweise die </w:t>
      </w:r>
      <w:r w:rsidRPr="00DB7A07">
        <w:rPr>
          <w:rFonts w:ascii="Arial" w:hAnsi="Arial" w:cs="Arial"/>
          <w:color w:val="auto"/>
        </w:rPr>
        <w:t>Arzneimittelbehörde</w:t>
      </w:r>
      <w:r>
        <w:rPr>
          <w:rFonts w:ascii="Arial" w:hAnsi="Arial" w:cs="Arial"/>
          <w:color w:val="auto"/>
        </w:rPr>
        <w:t xml:space="preserve"> </w:t>
      </w:r>
      <w:r w:rsidRPr="002249CE">
        <w:rPr>
          <w:rFonts w:ascii="Arial" w:hAnsi="Arial" w:cs="Arial"/>
          <w:color w:val="auto"/>
        </w:rPr>
        <w:t>FDA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color w:val="auto"/>
        </w:rPr>
        <w:t xml:space="preserve">  die</w:t>
      </w:r>
      <w:r w:rsidRPr="00DB7A0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europäischen </w:t>
      </w:r>
      <w:r w:rsidRPr="00DB7A07">
        <w:rPr>
          <w:rFonts w:ascii="Arial" w:hAnsi="Arial" w:cs="Arial"/>
          <w:color w:val="auto"/>
        </w:rPr>
        <w:t>Zertifizierung</w:t>
      </w:r>
      <w:r>
        <w:rPr>
          <w:rFonts w:ascii="Arial" w:hAnsi="Arial" w:cs="Arial"/>
          <w:color w:val="auto"/>
        </w:rPr>
        <w:t>en akzeptieren kann (ebenso umgekehrt)</w:t>
      </w:r>
      <w:r w:rsidRPr="00DB7A07">
        <w:rPr>
          <w:rFonts w:ascii="Arial" w:hAnsi="Arial" w:cs="Arial"/>
          <w:color w:val="auto"/>
        </w:rPr>
        <w:t xml:space="preserve">. </w:t>
      </w:r>
    </w:p>
    <w:p w:rsidR="00FC4E73" w:rsidRPr="002A0275" w:rsidRDefault="00FC4E73" w:rsidP="00FC4E73">
      <w:pPr>
        <w:pStyle w:val="StandardWeb"/>
        <w:jc w:val="both"/>
        <w:rPr>
          <w:rFonts w:ascii="Arial" w:hAnsi="Arial" w:cs="Arial"/>
        </w:rPr>
      </w:pPr>
      <w:r w:rsidRPr="00910D60">
        <w:rPr>
          <w:rFonts w:ascii="Arial" w:hAnsi="Arial" w:cs="Arial"/>
        </w:rPr>
        <w:t xml:space="preserve">Die offiziellen Verhandlungen haben im Juli 2013 begonnen. </w:t>
      </w:r>
      <w:r>
        <w:rPr>
          <w:rFonts w:ascii="Arial" w:hAnsi="Arial" w:cs="Arial"/>
        </w:rPr>
        <w:t xml:space="preserve">Bis 2015 hofft die EU-Kommission die Verhandlungen abzuschließen. Dann müssen auch noch das Europäische Parlament und alle 28 Mitgliedsstaaten zustimmen. Dass die </w:t>
      </w:r>
      <w:r>
        <w:rPr>
          <w:rFonts w:ascii="Arial" w:hAnsi="Arial" w:cs="Arial"/>
        </w:rPr>
        <w:lastRenderedPageBreak/>
        <w:t xml:space="preserve">Verhandlungen mehr Zeit in Anspruch nehmen werden, bestätigt auch die Erfahrung aus anderen ähnlich gelagerten Handelsabkommen, wie dem </w:t>
      </w:r>
      <w:r w:rsidRPr="00DB7A07">
        <w:rPr>
          <w:rFonts w:ascii="Arial" w:hAnsi="Arial" w:cs="Arial"/>
        </w:rPr>
        <w:t>Freihandelsabkommen zwischen der EU und Kanada</w:t>
      </w:r>
      <w:r>
        <w:rPr>
          <w:rFonts w:ascii="Arial" w:hAnsi="Arial" w:cs="Arial"/>
        </w:rPr>
        <w:t xml:space="preserve"> – die Verhandlungen liefen seit</w:t>
      </w:r>
      <w:r w:rsidRPr="00DB7A07">
        <w:rPr>
          <w:rFonts w:ascii="Arial" w:hAnsi="Arial" w:cs="Arial"/>
        </w:rPr>
        <w:t xml:space="preserve"> 2009 und </w:t>
      </w:r>
      <w:r>
        <w:rPr>
          <w:rFonts w:ascii="Arial" w:hAnsi="Arial" w:cs="Arial"/>
        </w:rPr>
        <w:t>dauerten insgesamt vier Jahre; erst kürzlich konnte eine grundsätzliche Einigung erzielt werden.</w:t>
      </w:r>
    </w:p>
    <w:p w:rsidR="00FC4E73" w:rsidRPr="002A0275" w:rsidRDefault="00FC4E73" w:rsidP="00FC4E73">
      <w:pPr>
        <w:spacing w:after="120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2A0275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Worin besteht der Unterschied zwischen berechtigten Schutzvorschriften und nicht-tarifären Handelshemmnissen?</w:t>
      </w:r>
    </w:p>
    <w:p w:rsidR="00FC4E73" w:rsidRDefault="00FC4E73" w:rsidP="00FC4E73">
      <w:pPr>
        <w:pStyle w:val="FreieForm"/>
        <w:spacing w:after="120"/>
        <w:jc w:val="both"/>
        <w:rPr>
          <w:rFonts w:ascii="Arial" w:eastAsia="Times New Roman" w:hAnsi="Arial"/>
          <w:i/>
          <w:color w:val="auto"/>
          <w:szCs w:val="24"/>
          <w:lang w:val="de-AT" w:eastAsia="de-DE"/>
        </w:rPr>
      </w:pP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>Grundsätzlich kann jeder Staat das Schutzniveau seiner nationalen Maßnahmen im Hinblick auf technische Sicherheit, Gesundheits- und Konsumentenschutz etc. frei wählen. Nicht alle der nicht-tarifären Maßnahmen sind deshalb ungerechtfertigt. Zu protektionistischen, ungerechtfertigten nicht-tarifären Handelshemmnissen werden die nationalen „Schutzvorschriften“ erst dann, wenn wichtige Grundsätze der internationalen Handelspolitik wie Nicht-Diskriminierung, Verhältnismäßigkeit, Transparenz etc. nicht beachtet werden.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  <w:r w:rsidRPr="0094125D">
        <w:rPr>
          <w:rFonts w:ascii="Arial" w:eastAsia="Times New Roman" w:hAnsi="Arial"/>
          <w:iCs/>
          <w:color w:val="auto"/>
          <w:szCs w:val="24"/>
          <w:lang w:val="de-AT" w:eastAsia="de-DE"/>
        </w:rPr>
        <w:t>Die EU</w:t>
      </w:r>
      <w:r>
        <w:rPr>
          <w:rFonts w:ascii="Arial" w:eastAsia="Times New Roman" w:hAnsi="Arial"/>
          <w:i/>
          <w:color w:val="auto"/>
          <w:szCs w:val="24"/>
          <w:lang w:val="de-AT" w:eastAsia="de-DE"/>
        </w:rPr>
        <w:t xml:space="preserve"> </w:t>
      </w:r>
      <w:r>
        <w:rPr>
          <w:rFonts w:ascii="Arial" w:eastAsia="Times New Roman" w:hAnsi="Arial"/>
          <w:color w:val="auto"/>
          <w:szCs w:val="24"/>
          <w:lang w:val="de-AT" w:eastAsia="de-DE"/>
        </w:rPr>
        <w:t>und die USA werden also weiterhin Schutzvorschriften vorsehen können</w:t>
      </w:r>
      <w:r>
        <w:rPr>
          <w:rFonts w:ascii="Arial" w:eastAsia="Times New Roman" w:hAnsi="Arial"/>
          <w:i/>
          <w:color w:val="auto"/>
          <w:szCs w:val="24"/>
          <w:lang w:val="de-AT" w:eastAsia="de-DE"/>
        </w:rPr>
        <w:t xml:space="preserve">. </w:t>
      </w:r>
    </w:p>
    <w:p w:rsidR="00FC4E73" w:rsidRDefault="00140DF7" w:rsidP="002B404A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Wie wird sichergestellt</w:t>
      </w:r>
      <w:r w:rsidR="002B404A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 xml:space="preserve">, dass die Verhandlungen transparent </w:t>
      </w:r>
      <w:r w:rsidR="008E2A16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verlaufen</w:t>
      </w:r>
      <w:r w:rsidR="002B404A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?</w:t>
      </w:r>
    </w:p>
    <w:p w:rsidR="002B404A" w:rsidRDefault="00140DF7" w:rsidP="002B404A">
      <w:pPr>
        <w:pStyle w:val="FreieForm"/>
        <w:spacing w:after="120"/>
        <w:jc w:val="both"/>
        <w:rPr>
          <w:rFonts w:ascii="Arial" w:eastAsia="Times New Roman" w:hAnsi="Arial"/>
          <w:color w:val="auto"/>
          <w:szCs w:val="24"/>
          <w:lang w:val="de-AT" w:eastAsia="de-DE"/>
        </w:rPr>
      </w:pPr>
      <w:r>
        <w:rPr>
          <w:rFonts w:ascii="Arial" w:eastAsia="Times New Roman" w:hAnsi="Arial"/>
          <w:color w:val="auto"/>
          <w:szCs w:val="24"/>
          <w:lang w:val="de-AT" w:eastAsia="de-DE"/>
        </w:rPr>
        <w:t>P</w:t>
      </w:r>
      <w:r w:rsidR="002B404A" w:rsidRPr="002B404A">
        <w:rPr>
          <w:rFonts w:ascii="Arial" w:eastAsia="Times New Roman" w:hAnsi="Arial"/>
          <w:color w:val="auto"/>
          <w:szCs w:val="24"/>
          <w:lang w:val="de-AT" w:eastAsia="de-DE"/>
        </w:rPr>
        <w:t xml:space="preserve">arallel zu den Verhandlungen </w:t>
      </w:r>
      <w:r w:rsidR="00134456">
        <w:rPr>
          <w:rFonts w:ascii="Arial" w:eastAsia="Times New Roman" w:hAnsi="Arial"/>
          <w:color w:val="auto"/>
          <w:szCs w:val="24"/>
          <w:lang w:val="de-AT" w:eastAsia="de-DE"/>
        </w:rPr>
        <w:t>fi</w:t>
      </w:r>
      <w:r w:rsidR="002B404A">
        <w:rPr>
          <w:rFonts w:ascii="Arial" w:eastAsia="Times New Roman" w:hAnsi="Arial"/>
          <w:color w:val="auto"/>
          <w:szCs w:val="24"/>
          <w:lang w:val="de-AT" w:eastAsia="de-DE"/>
        </w:rPr>
        <w:t>nden</w:t>
      </w:r>
      <w:r w:rsidR="002B404A" w:rsidRPr="002B404A">
        <w:rPr>
          <w:rFonts w:ascii="Arial" w:eastAsia="Times New Roman" w:hAnsi="Arial"/>
          <w:color w:val="auto"/>
          <w:szCs w:val="24"/>
          <w:lang w:val="de-AT" w:eastAsia="de-DE"/>
        </w:rPr>
        <w:t xml:space="preserve"> laufend Informationsveranstaltungen der </w:t>
      </w:r>
      <w:r w:rsidR="00972BF3">
        <w:rPr>
          <w:rFonts w:eastAsia="Times New Roman"/>
          <w:szCs w:val="24"/>
          <w:lang w:eastAsia="de-DE"/>
        </w:rPr>
        <w:t xml:space="preserve">Europäischen Kommission </w:t>
      </w:r>
      <w:r w:rsidR="002B404A" w:rsidRPr="002B404A">
        <w:rPr>
          <w:rFonts w:ascii="Arial" w:eastAsia="Times New Roman" w:hAnsi="Arial"/>
          <w:color w:val="auto"/>
          <w:szCs w:val="24"/>
          <w:lang w:val="de-AT" w:eastAsia="de-DE"/>
        </w:rPr>
        <w:t>und der US-</w:t>
      </w:r>
      <w:proofErr w:type="spellStart"/>
      <w:r w:rsidR="002B404A" w:rsidRPr="002B404A">
        <w:rPr>
          <w:rFonts w:ascii="Arial" w:eastAsia="Times New Roman" w:hAnsi="Arial"/>
          <w:color w:val="auto"/>
          <w:szCs w:val="24"/>
          <w:lang w:val="de-AT" w:eastAsia="de-DE"/>
        </w:rPr>
        <w:t>Verhandler</w:t>
      </w:r>
      <w:proofErr w:type="spellEnd"/>
      <w:r w:rsidR="002B404A" w:rsidRPr="002B404A">
        <w:rPr>
          <w:rFonts w:ascii="Arial" w:eastAsia="Times New Roman" w:hAnsi="Arial"/>
          <w:color w:val="auto"/>
          <w:szCs w:val="24"/>
          <w:lang w:val="de-AT" w:eastAsia="de-DE"/>
        </w:rPr>
        <w:t xml:space="preserve"> für Nicht</w:t>
      </w:r>
      <w:r w:rsidR="00520D85">
        <w:rPr>
          <w:rFonts w:ascii="Arial" w:eastAsia="Times New Roman" w:hAnsi="Arial"/>
          <w:color w:val="auto"/>
          <w:szCs w:val="24"/>
          <w:lang w:val="de-AT" w:eastAsia="de-DE"/>
        </w:rPr>
        <w:t xml:space="preserve">regierungsorganisationen statt. Österreich unterstützt alle Maßnahmen, </w:t>
      </w:r>
      <w:r w:rsidR="008E2A16">
        <w:rPr>
          <w:rFonts w:ascii="Arial" w:eastAsia="Times New Roman" w:hAnsi="Arial"/>
          <w:color w:val="auto"/>
          <w:szCs w:val="24"/>
          <w:lang w:val="de-AT" w:eastAsia="de-DE"/>
        </w:rPr>
        <w:t>die dazu beitragen,</w:t>
      </w:r>
      <w:r w:rsidR="00520D85">
        <w:rPr>
          <w:rFonts w:ascii="Arial" w:eastAsia="Times New Roman" w:hAnsi="Arial"/>
          <w:color w:val="auto"/>
          <w:szCs w:val="24"/>
          <w:lang w:val="de-AT" w:eastAsia="de-DE"/>
        </w:rPr>
        <w:t xml:space="preserve"> mangelnde  Transparenz hinsichtlich Verlauf und Themen der Verhandlungen 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bestmöglich </w:t>
      </w:r>
      <w:r w:rsidR="00520D85">
        <w:rPr>
          <w:rFonts w:ascii="Arial" w:eastAsia="Times New Roman" w:hAnsi="Arial"/>
          <w:color w:val="auto"/>
          <w:szCs w:val="24"/>
          <w:lang w:val="de-AT" w:eastAsia="de-DE"/>
        </w:rPr>
        <w:t xml:space="preserve">auszuschließen. </w:t>
      </w:r>
    </w:p>
    <w:p w:rsidR="00CC68CF" w:rsidRPr="002B404A" w:rsidRDefault="00CC68CF" w:rsidP="002B404A">
      <w:pPr>
        <w:pStyle w:val="FreieForm"/>
        <w:spacing w:after="120"/>
        <w:jc w:val="both"/>
        <w:rPr>
          <w:rFonts w:ascii="Arial" w:eastAsia="Times New Roman" w:hAnsi="Arial"/>
          <w:color w:val="auto"/>
          <w:szCs w:val="24"/>
          <w:lang w:val="de-AT" w:eastAsia="de-DE"/>
        </w:rPr>
      </w:pPr>
      <w:r w:rsidRPr="00CC68CF">
        <w:rPr>
          <w:rFonts w:ascii="Arial" w:eastAsia="Times New Roman" w:hAnsi="Arial"/>
          <w:color w:val="auto"/>
          <w:szCs w:val="24"/>
          <w:lang w:val="de-AT" w:eastAsia="de-DE"/>
        </w:rPr>
        <w:t xml:space="preserve">Infolge des besonderen öffentlichen Interesses an der Materie hat die Europäische Kommission </w:t>
      </w:r>
      <w:r w:rsidRPr="00CC68CF">
        <w:rPr>
          <w:rFonts w:ascii="Arial" w:eastAsia="Times New Roman" w:hAnsi="Arial"/>
          <w:b/>
          <w:color w:val="auto"/>
          <w:szCs w:val="24"/>
          <w:lang w:val="de-AT" w:eastAsia="de-DE"/>
        </w:rPr>
        <w:t>öffentliche Konsultationen</w:t>
      </w:r>
      <w:r w:rsidRPr="00CC68CF">
        <w:rPr>
          <w:rFonts w:ascii="Arial" w:eastAsia="Times New Roman" w:hAnsi="Arial"/>
          <w:color w:val="auto"/>
          <w:szCs w:val="24"/>
          <w:lang w:val="de-AT" w:eastAsia="de-DE"/>
        </w:rPr>
        <w:t xml:space="preserve"> darüber angekündigt, wie die Bestimmungen über den Investitionsschutz und der Streitbeilegungsmechanismus zwischen Investoren und Staat im TTIP-Vertragstext ausgestaltet werden sollen. Dabei ist jedermann aufgerufen, sich daran zu beteiligen</w:t>
      </w:r>
      <w:r>
        <w:rPr>
          <w:rFonts w:ascii="Arial" w:eastAsia="Times New Roman" w:hAnsi="Arial"/>
          <w:color w:val="auto"/>
          <w:szCs w:val="24"/>
          <w:lang w:val="de-AT" w:eastAsia="de-DE"/>
        </w:rPr>
        <w:t>.</w:t>
      </w:r>
    </w:p>
    <w:p w:rsidR="00FC4E73" w:rsidRPr="002A0275" w:rsidRDefault="00FC4E73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 w:rsidRPr="002A0275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Was ist der Unterschied zwischen einer Freihandelszone, wie wir sie mit den USA haben werden, und einem Binnenmarkt, wie jenem der EU.</w:t>
      </w:r>
    </w:p>
    <w:p w:rsidR="00FC4E73" w:rsidRPr="002A0275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>In einer Freihandelszone werden Zölle und tarifäre Handelshemmnisse nur für Güter innerhalb der Freihandelszone abgeschafft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I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m Handel mit Drittländern legen die einzelnen Mitgliedsstaaten die Zölle weiterhin selbstständig fest. </w:t>
      </w:r>
      <w:r w:rsidRPr="00ED60FE">
        <w:rPr>
          <w:rFonts w:ascii="Arial" w:eastAsia="Times New Roman" w:hAnsi="Arial" w:cs="Times New Roman"/>
          <w:sz w:val="24"/>
          <w:szCs w:val="24"/>
          <w:lang w:eastAsia="de-DE"/>
        </w:rPr>
        <w:t xml:space="preserve">In einem Binnenmarkt werden hingegen zusätzlich zur Zollunion (gemeinsame Zollpolitik gegenüber Drittländern) auch nicht-tarifäre Handelshemmnisse (z.B. Normen, Gesetze) weitestgehend abgebaut.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Es entsteht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 ein gemeinsamer Gütermarkt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, in dem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a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>uch Hemmnisse bei Dienstleistungen, Arbeitskräften und Kapital beseitigt</w:t>
      </w:r>
      <w:r w:rsidRPr="0011554F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2A0275">
        <w:rPr>
          <w:rFonts w:ascii="Arial" w:eastAsia="Times New Roman" w:hAnsi="Arial" w:cs="Times New Roman"/>
          <w:sz w:val="24"/>
          <w:szCs w:val="24"/>
          <w:lang w:eastAsia="de-DE"/>
        </w:rPr>
        <w:t>werden.</w:t>
      </w:r>
    </w:p>
    <w:p w:rsidR="00FC4E73" w:rsidRDefault="00FC4E73" w:rsidP="00FC4E73">
      <w:pPr>
        <w:spacing w:after="120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Wer verhandelt auf EU- Seite und wie vertritt Österreich seine Interessen bei den Verhandlungen</w:t>
      </w:r>
      <w:r w:rsidRPr="008F2D3B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?</w:t>
      </w:r>
    </w:p>
    <w:p w:rsidR="00FC4E73" w:rsidRPr="0033146F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Die EU wird durch die Europäische Kommission (EK), Generaldirektion Handel, vertreten. Die EK verhandelt auf Basis des unter den EU-Mitgliedstaaten bereits vereinbarten Mandates und stimmt die weitere EU Position laufend mit den EU-Mitgliedstaaten 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>im Rahmen des Han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delspolitischen Komitees des 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>Rates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>(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Trade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de-DE"/>
        </w:rPr>
        <w:t>Policy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de-DE"/>
        </w:rPr>
        <w:t>Commitee</w:t>
      </w:r>
      <w:proofErr w:type="spellEnd"/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>)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ab. Österreich ist darin durch das 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 xml:space="preserve">Bundesministerium für Wirtschaft, Familie und Jugend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(BMWFJ) vertreten, welches die ö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>sterreichischen Interessen im Rahme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n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 xml:space="preserve"> interministerieller Sitzungen unter Beteiligung der Sozialpartner (WKÖ, Arbeiterkammer, ÖGB, Industriellenvereinigung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lastRenderedPageBreak/>
        <w:t>Landwirtschaftskammer</w:t>
      </w:r>
      <w:r w:rsidRPr="0033146F">
        <w:rPr>
          <w:rFonts w:ascii="Arial" w:eastAsia="Times New Roman" w:hAnsi="Arial" w:cs="Times New Roman"/>
          <w:sz w:val="24"/>
          <w:szCs w:val="24"/>
          <w:lang w:eastAsia="de-DE"/>
        </w:rPr>
        <w:t xml:space="preserve">) abstimmt.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Das Bundesministerium für europäische und internationale Angelegenheiten unterstützt die Arbeit des BMWFJ, u.a. durch Einholung ergänzender Informationen durch die österr. Botschaften im Ausland.</w:t>
      </w:r>
    </w:p>
    <w:p w:rsidR="00FC4E73" w:rsidRPr="002A0275" w:rsidRDefault="00B11421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Welche Auswirkungen hatt</w:t>
      </w:r>
      <w:r w:rsidR="00FC4E73" w:rsidRPr="002A0275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en die Enthüllungen über nachrichtendienstliche Tätigkeiten der NSA?</w:t>
      </w:r>
    </w:p>
    <w:p w:rsidR="00FC4E73" w:rsidRPr="002C01E8" w:rsidRDefault="00FC4E73" w:rsidP="00FC4E73">
      <w:pPr>
        <w:pStyle w:val="FreieForm"/>
        <w:spacing w:after="120"/>
        <w:jc w:val="both"/>
        <w:rPr>
          <w:highlight w:val="yellow"/>
        </w:rPr>
      </w:pP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>Der Start der Verhandlungen über das EU-US Freihandelsabkommen im Juli d.J. wurde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 </w:t>
      </w: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 xml:space="preserve">von den Enthüllungen </w:t>
      </w:r>
      <w:r w:rsidRPr="002A0275">
        <w:rPr>
          <w:rStyle w:val="st"/>
          <w:rFonts w:ascii="Arial" w:hAnsi="Arial" w:cs="Arial"/>
          <w:color w:val="222222"/>
        </w:rPr>
        <w:t xml:space="preserve">über das </w:t>
      </w:r>
      <w:r w:rsidRPr="002A0275">
        <w:rPr>
          <w:rStyle w:val="Hervorhebung"/>
          <w:rFonts w:ascii="Arial" w:hAnsi="Arial" w:cs="Arial"/>
          <w:color w:val="222222"/>
        </w:rPr>
        <w:t>NSA</w:t>
      </w:r>
      <w:r w:rsidRPr="002A0275">
        <w:rPr>
          <w:rStyle w:val="st"/>
          <w:rFonts w:ascii="Arial" w:hAnsi="Arial" w:cs="Arial"/>
          <w:b/>
          <w:color w:val="222222"/>
        </w:rPr>
        <w:t>-</w:t>
      </w:r>
      <w:r w:rsidRPr="002A0275">
        <w:rPr>
          <w:rStyle w:val="st"/>
          <w:rFonts w:ascii="Arial" w:hAnsi="Arial" w:cs="Arial"/>
          <w:color w:val="222222"/>
        </w:rPr>
        <w:t xml:space="preserve">Überwachungsprogramm PRISM überschattet. </w:t>
      </w:r>
      <w:r>
        <w:rPr>
          <w:rStyle w:val="st"/>
          <w:rFonts w:ascii="Arial" w:hAnsi="Arial" w:cs="Arial"/>
          <w:color w:val="222222"/>
        </w:rPr>
        <w:t xml:space="preserve">Auch die </w:t>
      </w: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 xml:space="preserve">EU-Justizkommissarin </w:t>
      </w:r>
      <w:r>
        <w:rPr>
          <w:rFonts w:ascii="Arial" w:eastAsia="Times New Roman" w:hAnsi="Arial"/>
          <w:color w:val="auto"/>
          <w:szCs w:val="24"/>
          <w:lang w:val="de-AT" w:eastAsia="de-DE"/>
        </w:rPr>
        <w:t xml:space="preserve">Viviane </w:t>
      </w:r>
      <w:proofErr w:type="spellStart"/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>Reding</w:t>
      </w:r>
      <w:proofErr w:type="spellEnd"/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 xml:space="preserve"> betont</w:t>
      </w:r>
      <w:r>
        <w:rPr>
          <w:rFonts w:ascii="Arial" w:eastAsia="Times New Roman" w:hAnsi="Arial"/>
          <w:color w:val="auto"/>
          <w:szCs w:val="24"/>
          <w:lang w:val="de-AT" w:eastAsia="de-DE"/>
        </w:rPr>
        <w:t>e</w:t>
      </w:r>
      <w:r w:rsidRPr="002A0275">
        <w:rPr>
          <w:rFonts w:ascii="Arial" w:eastAsia="Times New Roman" w:hAnsi="Arial"/>
          <w:color w:val="auto"/>
          <w:szCs w:val="24"/>
          <w:lang w:val="de-AT" w:eastAsia="de-DE"/>
        </w:rPr>
        <w:t xml:space="preserve">, dass das transatlantische Freihandelsabkommen ohne gegenseitiges Vertrauen nicht verwirklicht werden könne. </w:t>
      </w:r>
      <w:r>
        <w:rPr>
          <w:rFonts w:ascii="Arial" w:eastAsia="Times New Roman" w:hAnsi="Arial"/>
          <w:szCs w:val="24"/>
          <w:lang w:eastAsia="de-DE"/>
        </w:rPr>
        <w:t>Der Präsident des Europäischen Parlaments Martin Schulz forderte sogar die Aussetzung der Verhandlungen, eine Forderung, die</w:t>
      </w:r>
      <w:r>
        <w:t xml:space="preserve"> beim Europäischen Rat am 25.10. keine Zustimmung der Staats- und Regierungschefs fand, ebenso wenig die </w:t>
      </w:r>
      <w:r>
        <w:rPr>
          <w:rFonts w:ascii="Arial" w:eastAsia="Times New Roman" w:hAnsi="Arial"/>
          <w:szCs w:val="24"/>
          <w:lang w:eastAsia="de-DE"/>
        </w:rPr>
        <w:t>Forderung des EP</w:t>
      </w:r>
      <w:r>
        <w:t>, das Swift-Abkommen</w:t>
      </w:r>
      <w:r>
        <w:rPr>
          <w:rFonts w:ascii="Arial" w:eastAsia="Times New Roman" w:hAnsi="Arial"/>
          <w:szCs w:val="24"/>
          <w:lang w:eastAsia="de-DE"/>
        </w:rPr>
        <w:t>, das den Austausch von Bankdaten mit den USA regelt,</w:t>
      </w:r>
      <w:r>
        <w:t xml:space="preserve"> auszusetzen. </w:t>
      </w:r>
      <w:r w:rsidRPr="002A0275">
        <w:t xml:space="preserve">Das EP hatte </w:t>
      </w:r>
      <w:r>
        <w:t xml:space="preserve">zuvor </w:t>
      </w:r>
      <w:r w:rsidRPr="002A0275">
        <w:t>am 23.10. mit 280 zu 254 Stimmen eine Resolution verabschiedet, die fordert, das Swift-Abkommen mit den USA auszusetzen.</w:t>
      </w:r>
    </w:p>
    <w:p w:rsidR="00FC4E73" w:rsidRDefault="00FC4E73" w:rsidP="00FC4E73">
      <w:pPr>
        <w:spacing w:after="120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Wie gestalten sich die transatlantischen Beziehungen zwischen der EU und den USA</w:t>
      </w:r>
      <w:r w:rsidRPr="00705583">
        <w:rPr>
          <w:rFonts w:ascii="Arial" w:hAnsi="Arial" w:cs="Arial"/>
          <w:b/>
          <w:color w:val="548DD4" w:themeColor="text2" w:themeTint="99"/>
          <w:sz w:val="24"/>
          <w:szCs w:val="24"/>
          <w:lang w:val="de-DE"/>
        </w:rPr>
        <w:t>?</w:t>
      </w:r>
    </w:p>
    <w:p w:rsidR="00FC4E73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Seit der "Transatlantischen Erklärung" von 1990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finden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zwischen der EU und den USA regelmäßige Konsultationen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statt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. Dazu gehören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auch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jährliche Gipfeltreffen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der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politischen Spitzen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der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USA und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der EU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.</w:t>
      </w:r>
      <w:r w:rsidRPr="00C12DCF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Neben der Zusammenarbeit in Wirtschaftsfragen gibt es eine enge Zusammenarbeit in außenpolitischen Fragen. Schwerpunkte bilden die Zusammenarbeit am Westbalkan und beim Nahost-Friedensprozess, sowie die Bemühungen um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Abrüstung und Non-</w:t>
      </w:r>
      <w:proofErr w:type="gramStart"/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Proliferation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,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der Schutz der Menschenrechte und die Bewältigung globaler Herausforderungen wie dem Kampf gegen internationalen Terrorismus und organisierte Kriminalität. </w:t>
      </w:r>
    </w:p>
    <w:p w:rsidR="00FC4E73" w:rsidRDefault="00FC4E73" w:rsidP="00FC4E73">
      <w:pPr>
        <w:spacing w:after="120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Durch die angestrebte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Transatlantische Handels- und Investitionspartnerschaft (TTIP) haben die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EU-</w:t>
      </w:r>
      <w:r w:rsidRPr="00293DAC">
        <w:rPr>
          <w:rFonts w:ascii="Arial" w:eastAsia="Times New Roman" w:hAnsi="Arial" w:cs="Times New Roman"/>
          <w:sz w:val="24"/>
          <w:szCs w:val="24"/>
          <w:lang w:eastAsia="de-DE"/>
        </w:rPr>
        <w:t>US-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Beziehungen eine neue Dynamik gewonnen. Angesichts der immensen Bedeutung der Verhandlungen, wird es wesentlich sein, faire Lösungen für Handels- und Investitionsfragen zu finden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 Ziel ist es auch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einen Beitrag für die Entwicklung weltweiter Handelsregeln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zu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leisten. Die Verhandlungen sollten ein klares Signal zugunsten des Freihandels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setzen. Aber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auch der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Respekt grundlegender arbeitsrechtlicher Normen und nachhaltige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Entwicklung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 xml:space="preserve"> sowie ein Bekenntnis zur Zusammenarbeit gegen illegalen Handel und Korruption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erscheinen als zentrale Verhandlungspunkte</w:t>
      </w:r>
      <w:r w:rsidRPr="002A59BD"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FC4E73" w:rsidRPr="002A0275" w:rsidRDefault="00FC4E73" w:rsidP="00FC4E7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A0275">
        <w:rPr>
          <w:rFonts w:ascii="Arial" w:hAnsi="Arial" w:cs="Arial"/>
          <w:sz w:val="24"/>
          <w:szCs w:val="24"/>
        </w:rPr>
        <w:t xml:space="preserve">Die wichtigsten Importpartner der EU: China 17,1 % Russland 11,6 % USA 11,1 % Norwegen 5,5 % Schweiz 5,3 % </w:t>
      </w:r>
    </w:p>
    <w:p w:rsidR="00FC4E73" w:rsidRPr="002A0275" w:rsidRDefault="00FC4E73" w:rsidP="00FC4E7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A0275">
        <w:rPr>
          <w:rFonts w:ascii="Arial" w:hAnsi="Arial" w:cs="Arial"/>
          <w:sz w:val="24"/>
          <w:szCs w:val="24"/>
        </w:rPr>
        <w:t>Die wichtigsten Exportpartner der EU: USA 16,9 % Schweiz 9,0 % China 8,7 % Russland 7,0 % T</w:t>
      </w:r>
      <w:r>
        <w:rPr>
          <w:rFonts w:ascii="Arial" w:hAnsi="Arial" w:cs="Arial"/>
          <w:sz w:val="24"/>
          <w:szCs w:val="24"/>
        </w:rPr>
        <w:t>ü</w:t>
      </w:r>
      <w:r w:rsidRPr="002A0275">
        <w:rPr>
          <w:rFonts w:ascii="Arial" w:hAnsi="Arial" w:cs="Arial"/>
          <w:sz w:val="24"/>
          <w:szCs w:val="24"/>
        </w:rPr>
        <w:t>rkei 4,7 % Quelle: DG Trade (2011)</w:t>
      </w:r>
    </w:p>
    <w:p w:rsidR="00FC4E73" w:rsidRPr="002A0275" w:rsidRDefault="00FC4E73" w:rsidP="00FC4E7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A0275">
        <w:rPr>
          <w:rFonts w:ascii="Arial" w:hAnsi="Arial" w:cs="Arial"/>
          <w:sz w:val="24"/>
          <w:szCs w:val="24"/>
        </w:rPr>
        <w:t xml:space="preserve">Die wichtigsten Importpartner Osterreichs: Deutschland 38,2 % Italien 6,5 % Schweiz 5,4 % China 4,9 % </w:t>
      </w:r>
      <w:proofErr w:type="spellStart"/>
      <w:r w:rsidRPr="002A0275">
        <w:rPr>
          <w:rFonts w:ascii="Arial" w:hAnsi="Arial" w:cs="Arial"/>
          <w:sz w:val="24"/>
          <w:szCs w:val="24"/>
        </w:rPr>
        <w:t>Tschech.Rep</w:t>
      </w:r>
      <w:proofErr w:type="spellEnd"/>
      <w:r w:rsidRPr="002A0275">
        <w:rPr>
          <w:rFonts w:ascii="Arial" w:hAnsi="Arial" w:cs="Arial"/>
          <w:sz w:val="24"/>
          <w:szCs w:val="24"/>
        </w:rPr>
        <w:t xml:space="preserve">. 3,7 % USA 2,9 % </w:t>
      </w:r>
    </w:p>
    <w:p w:rsidR="00411240" w:rsidRPr="008E2A16" w:rsidRDefault="00FC4E73" w:rsidP="0041124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A0275">
        <w:rPr>
          <w:rFonts w:ascii="Arial" w:hAnsi="Arial" w:cs="Arial"/>
          <w:sz w:val="24"/>
          <w:szCs w:val="24"/>
        </w:rPr>
        <w:t xml:space="preserve">Die wichtigsten Exportpartner Osterreichs: Deutschland 31,1 % Italien 7,6 % USA 5,2 % Schweiz 4,9 % Frankreich 4,1 % </w:t>
      </w:r>
      <w:r w:rsidR="008E2A16">
        <w:rPr>
          <w:rFonts w:ascii="Arial" w:hAnsi="Arial" w:cs="Arial"/>
          <w:sz w:val="24"/>
          <w:szCs w:val="24"/>
        </w:rPr>
        <w:t>(</w:t>
      </w:r>
      <w:r w:rsidRPr="002A0275">
        <w:rPr>
          <w:rFonts w:ascii="Arial" w:hAnsi="Arial" w:cs="Arial"/>
          <w:sz w:val="24"/>
          <w:szCs w:val="24"/>
        </w:rPr>
        <w:t>Quelle: WKO Statistik</w:t>
      </w:r>
      <w:r w:rsidR="008E2A16">
        <w:rPr>
          <w:rFonts w:ascii="Arial" w:hAnsi="Arial" w:cs="Arial"/>
          <w:sz w:val="24"/>
          <w:szCs w:val="24"/>
        </w:rPr>
        <w:t>)</w:t>
      </w:r>
    </w:p>
    <w:sectPr w:rsidR="00411240" w:rsidRPr="008E2A16" w:rsidSect="00224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60" w:rsidRDefault="00EF0560" w:rsidP="008E2A16">
      <w:pPr>
        <w:spacing w:after="0"/>
      </w:pPr>
      <w:r>
        <w:separator/>
      </w:r>
    </w:p>
  </w:endnote>
  <w:endnote w:type="continuationSeparator" w:id="0">
    <w:p w:rsidR="00EF0560" w:rsidRDefault="00EF0560" w:rsidP="008E2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B" w:rsidRDefault="000C21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B" w:rsidRDefault="000C21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B" w:rsidRDefault="000C21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60" w:rsidRDefault="00EF0560" w:rsidP="008E2A16">
      <w:pPr>
        <w:spacing w:after="0"/>
      </w:pPr>
      <w:r>
        <w:separator/>
      </w:r>
    </w:p>
  </w:footnote>
  <w:footnote w:type="continuationSeparator" w:id="0">
    <w:p w:rsidR="00EF0560" w:rsidRDefault="00EF0560" w:rsidP="008E2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B" w:rsidRDefault="000C21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CE" w:rsidRPr="00E60B97" w:rsidRDefault="00972BF3" w:rsidP="002249CE">
    <w:pPr>
      <w:tabs>
        <w:tab w:val="left" w:pos="8070"/>
      </w:tabs>
      <w:autoSpaceDE w:val="0"/>
      <w:autoSpaceDN w:val="0"/>
      <w:adjustRightInd w:val="0"/>
      <w:spacing w:after="120"/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</w:pPr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 xml:space="preserve">Ein Service des </w:t>
    </w:r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BM</w:t>
    </w:r>
    <w:r w:rsidR="000C218B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EI</w:t>
    </w:r>
    <w:bookmarkStart w:id="0" w:name="_GoBack"/>
    <w:bookmarkEnd w:id="0"/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A für EU-</w:t>
    </w:r>
    <w:proofErr w:type="spellStart"/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GemeinderätInnen</w:t>
    </w:r>
    <w:proofErr w:type="spellEnd"/>
    <w:r w:rsidRPr="00E60B97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ab/>
    </w:r>
  </w:p>
  <w:p w:rsidR="002249CE" w:rsidRPr="00C56470" w:rsidRDefault="00CC68CF" w:rsidP="002249CE">
    <w:pPr>
      <w:pStyle w:val="Kopfzeile"/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</w:pPr>
    <w:r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März</w:t>
    </w:r>
    <w:r w:rsidR="00972BF3"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 xml:space="preserve"> </w:t>
    </w:r>
    <w:r>
      <w:rPr>
        <w:rFonts w:ascii="Arial" w:hAnsi="Arial" w:cs="Arial"/>
        <w:b/>
        <w:bCs/>
        <w:i/>
        <w:iCs/>
        <w:color w:val="17365D" w:themeColor="text2" w:themeShade="BF"/>
        <w:sz w:val="20"/>
        <w:szCs w:val="24"/>
        <w:lang w:eastAsia="zh-TW"/>
      </w:rPr>
      <w:t>2014</w:t>
    </w:r>
    <w:r w:rsidR="00972BF3" w:rsidRPr="00E60B97">
      <w:rPr>
        <w:noProof/>
        <w:color w:val="000000"/>
        <w:sz w:val="16"/>
        <w:szCs w:val="20"/>
        <w:lang w:eastAsia="de-AT"/>
      </w:rPr>
      <w:t xml:space="preserve"> </w:t>
    </w:r>
    <w:r w:rsidR="00972BF3" w:rsidRPr="00E60B97">
      <w:rPr>
        <w:noProof/>
        <w:color w:val="000000"/>
        <w:sz w:val="16"/>
        <w:szCs w:val="20"/>
        <w:lang w:eastAsia="de-AT"/>
      </w:rPr>
      <w:drawing>
        <wp:anchor distT="0" distB="0" distL="114300" distR="114300" simplePos="0" relativeHeight="251659264" behindDoc="0" locked="0" layoutInCell="1" allowOverlap="1" wp14:anchorId="44E7A09D" wp14:editId="050970D8">
          <wp:simplePos x="0" y="0"/>
          <wp:positionH relativeFrom="column">
            <wp:posOffset>4459605</wp:posOffset>
          </wp:positionH>
          <wp:positionV relativeFrom="paragraph">
            <wp:posOffset>-380365</wp:posOffset>
          </wp:positionV>
          <wp:extent cx="2019600" cy="648000"/>
          <wp:effectExtent l="0" t="0" r="0" b="0"/>
          <wp:wrapNone/>
          <wp:docPr id="3" name="Grafik 3" descr="Beschreibung: Beschreibung: Beschreibung: Beschreibung: Beschreibung: Beschreibung: cid:image001.jpg@01CCF872.BB9D9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eschreibung: Beschreibung: Beschreibung: Beschreibung: cid:image001.jpg@01CCF872.BB9D9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B" w:rsidRDefault="000C21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0E4"/>
    <w:multiLevelType w:val="hybridMultilevel"/>
    <w:tmpl w:val="9664E4C2"/>
    <w:lvl w:ilvl="0" w:tplc="B5DC6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D696A"/>
    <w:multiLevelType w:val="hybridMultilevel"/>
    <w:tmpl w:val="86201F28"/>
    <w:lvl w:ilvl="0" w:tplc="B5DC6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73"/>
    <w:rsid w:val="00034CAB"/>
    <w:rsid w:val="00062DD9"/>
    <w:rsid w:val="000A4A54"/>
    <w:rsid w:val="000C218B"/>
    <w:rsid w:val="00134456"/>
    <w:rsid w:val="00140DF7"/>
    <w:rsid w:val="002B404A"/>
    <w:rsid w:val="0038691E"/>
    <w:rsid w:val="003C4DF8"/>
    <w:rsid w:val="00411240"/>
    <w:rsid w:val="00520D85"/>
    <w:rsid w:val="006C1B36"/>
    <w:rsid w:val="006F1CD0"/>
    <w:rsid w:val="007419EB"/>
    <w:rsid w:val="0077477E"/>
    <w:rsid w:val="008E2A16"/>
    <w:rsid w:val="00972BF3"/>
    <w:rsid w:val="009E5A7C"/>
    <w:rsid w:val="00B11421"/>
    <w:rsid w:val="00CC68CF"/>
    <w:rsid w:val="00D23807"/>
    <w:rsid w:val="00E52B2D"/>
    <w:rsid w:val="00EF0560"/>
    <w:rsid w:val="00F43083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73"/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C4E7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E73"/>
  </w:style>
  <w:style w:type="paragraph" w:customStyle="1" w:styleId="FreieForm">
    <w:name w:val="Freie Form"/>
    <w:rsid w:val="00FC4E73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C4E73"/>
    <w:rPr>
      <w:vertAlign w:val="superscript"/>
    </w:rPr>
  </w:style>
  <w:style w:type="paragraph" w:customStyle="1" w:styleId="Default">
    <w:name w:val="Default"/>
    <w:rsid w:val="00FC4E73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C4E73"/>
    <w:rPr>
      <w:b/>
      <w:bCs/>
      <w:i w:val="0"/>
      <w:iCs w:val="0"/>
    </w:rPr>
  </w:style>
  <w:style w:type="character" w:customStyle="1" w:styleId="st">
    <w:name w:val="st"/>
    <w:basedOn w:val="Absatz-Standardschriftart"/>
    <w:rsid w:val="00FC4E73"/>
  </w:style>
  <w:style w:type="paragraph" w:styleId="Listenabsatz">
    <w:name w:val="List Paragraph"/>
    <w:basedOn w:val="Standard"/>
    <w:uiPriority w:val="34"/>
    <w:qFormat/>
    <w:rsid w:val="00FC4E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C4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E7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E7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E2A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2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73"/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C4E7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E73"/>
  </w:style>
  <w:style w:type="paragraph" w:customStyle="1" w:styleId="FreieForm">
    <w:name w:val="Freie Form"/>
    <w:rsid w:val="00FC4E73"/>
    <w:pPr>
      <w:spacing w:after="0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C4E73"/>
    <w:rPr>
      <w:vertAlign w:val="superscript"/>
    </w:rPr>
  </w:style>
  <w:style w:type="paragraph" w:customStyle="1" w:styleId="Default">
    <w:name w:val="Default"/>
    <w:rsid w:val="00FC4E73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C4E73"/>
    <w:rPr>
      <w:b/>
      <w:bCs/>
      <w:i w:val="0"/>
      <w:iCs w:val="0"/>
    </w:rPr>
  </w:style>
  <w:style w:type="character" w:customStyle="1" w:styleId="st">
    <w:name w:val="st"/>
    <w:basedOn w:val="Absatz-Standardschriftart"/>
    <w:rsid w:val="00FC4E73"/>
  </w:style>
  <w:style w:type="paragraph" w:styleId="Listenabsatz">
    <w:name w:val="List Paragraph"/>
    <w:basedOn w:val="Standard"/>
    <w:uiPriority w:val="34"/>
    <w:qFormat/>
    <w:rsid w:val="00FC4E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C4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E7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E7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E2A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E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F23C.B1D02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II.4. EU-Gemeinderäteinformation Freihandelsabkommen EU-USA aktualisiert"/>
    <f:field ref="objsubject" par="" edit="true" text=""/>
    <f:field ref="objcreatedby" par="" text="Griesebner, Roswitha"/>
    <f:field ref="objcreatedat" par="" text="28.03.2014 15:40:53"/>
    <f:field ref="objchangedby" par="" text="Weinmann, Rupert, Mag."/>
    <f:field ref="objmodifiedat" par="" text="04.04.2014 17:20:15"/>
    <f:field ref="doc_FSCFOLIO_1_1001_FieldDocumentNumber" par="" text=""/>
    <f:field ref="doc_FSCFOLIO_1_1001_FieldSubject" par="" edit="true" text=""/>
    <f:field ref="FSCFOLIO_1_1001_FieldCurrentUser" par="" text="Gerrit Seidl, MA"/>
    <f:field ref="CCAPRECONFIG_15_1001_Objektname" par="" edit="true" text="VII.4. EU-Gemeinderäteinformation Freihandelsabkommen EU-USA aktualisiert"/>
    <f:field ref="EIBVFGH_15_1700_FieldPartPlaintiffList" par="" text=""/>
    <f:field ref="EIBVFGH_15_1700_FieldGoesOutToList" par="" text=""/>
  </f:record>
  <f:display par="" text="...">
    <f:field ref="FSCFOLIO_1_1001_FieldCurrentUser" text="Aktueller Benutzer"/>
    <f:field ref="objsubject" text="Anmerkungen"/>
    <f:field ref="EIBVFGH_15_1700_FieldGoesOutToList" text="Ergeht an Liste"/>
    <f:field ref="objcreatedat" text="Erzeugt am/um"/>
    <f:field ref="objcreatedby" text="Erzeugt von"/>
    <f:field ref="objmodifiedat" text="Letzte Änderung am/um"/>
    <f:field ref="objchangedby" text="Letzte Änderung von"/>
    <f:field ref="EIBVFGH_15_1700_FieldPartPlaintiffList" text="Liste der Antragsteller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6F9B861.dotm</Template>
  <TotalTime>0</TotalTime>
  <Pages>1</Pages>
  <Words>1697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wolfgang.renezeder</dc:creator>
  <cp:keywords/>
  <dc:description/>
  <cp:lastModifiedBy>rupert.weinmann</cp:lastModifiedBy>
  <cp:revision>4</cp:revision>
  <cp:lastPrinted>2014-03-27T10:03:00Z</cp:lastPrinted>
  <dcterms:created xsi:type="dcterms:W3CDTF">2014-03-28T13:30:00Z</dcterms:created>
  <dcterms:modified xsi:type="dcterms:W3CDTF">2014-04-04T15:19:00Z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III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roswitha.griesebner@bmeia.gv.at</vt:lpwstr>
  </property>
  <property name="FSC#EIBPRECONFIG@1.1001:OUEmail" pid="19" fmtid="{D5CDD505-2E9C-101B-9397-08002B2CF9AE}">
    <vt:lpwstr>sektioniii@bmeia.gv.at</vt:lpwstr>
  </property>
  <property name="FSC#EIBPRECONFIG@1.1001:OwnerGender" pid="20" fmtid="{D5CDD505-2E9C-101B-9397-08002B2CF9AE}">
    <vt:lpwstr/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>BMEIA-EU.3.13.04/0016-III.1/2014</vt:lpwstr>
  </property>
  <property name="FSC#EIBPRECONFIG@1.1001:OUAddr" pid="33" fmtid="{D5CDD505-2E9C-101B-9397-08002B2CF9AE}">
    <vt:lpwstr>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/>
  </property>
  <property name="FSC#EIBPRECONFIG@1.1001:currentuser" pid="36" fmtid="{D5CDD505-2E9C-101B-9397-08002B2CF9AE}">
    <vt:lpwstr>COO.3000.100.1.519326</vt:lpwstr>
  </property>
  <property name="FSC#EIBPRECONFIG@1.1001:currentuserrolegroup" pid="37" fmtid="{D5CDD505-2E9C-101B-9397-08002B2CF9AE}">
    <vt:lpwstr>COO.3000.100.1.147089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COO.3000.112.11.668836</vt:lpwstr>
  </property>
  <property name="FSC#EIBPRECONFIG@1.1001:toplevelobject" pid="40" fmtid="{D5CDD505-2E9C-101B-9397-08002B2CF9AE}">
    <vt:lpwstr>COO.3000.112.16.3330238</vt:lpwstr>
  </property>
  <property name="FSC#EIBPRECONFIG@1.1001:objchangedby" pid="41" fmtid="{D5CDD505-2E9C-101B-9397-08002B2CF9AE}">
    <vt:lpwstr>Mag. Rupert Weinmann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04.04.2014</vt:lpwstr>
  </property>
  <property name="FSC#EIBPRECONFIG@1.1001:objname" pid="44" fmtid="{D5CDD505-2E9C-101B-9397-08002B2CF9AE}">
    <vt:lpwstr>VII.4. EU-Gemeinderäteinformation Freihandelsabkommen EU-USA aktualisiert</vt:lpwstr>
  </property>
  <property name="FSC#EIBPRECONFIG@1.1001:EIBProcessResponsiblePhone" pid="45" fmtid="{D5CDD505-2E9C-101B-9397-08002B2CF9AE}">
    <vt:lpwstr>3923</vt:lpwstr>
  </property>
  <property name="FSC#EIBPRECONFIG@1.1001:EIBProcessResponsibleMail" pid="46" fmtid="{D5CDD505-2E9C-101B-9397-08002B2CF9AE}">
    <vt:lpwstr>rupert.weinmann@bmeia.gv.at</vt:lpwstr>
  </property>
  <property name="FSC#EIBPRECONFIG@1.1001:EIBProcessResponsibleFax" pid="47" fmtid="{D5CDD505-2E9C-101B-9397-08002B2CF9AE}">
    <vt:lpwstr>3923</vt:lpwstr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Mag. Rupert Weinmann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EU-Gemeinderätetagung, Salzburg, 11. 4. 2014, Toolkit_x000d__x000a_</vt:lpwstr>
  </property>
  <property name="FSC#COOELAK@1.1001:FileReference" pid="52" fmtid="{D5CDD505-2E9C-101B-9397-08002B2CF9AE}">
    <vt:lpwstr>BMEIA-EU.3.13.04/0016-III.1/2014</vt:lpwstr>
  </property>
  <property name="FSC#COOELAK@1.1001:FileRefYear" pid="53" fmtid="{D5CDD505-2E9C-101B-9397-08002B2CF9AE}">
    <vt:lpwstr>2014</vt:lpwstr>
  </property>
  <property name="FSC#COOELAK@1.1001:FileRefOrdinal" pid="54" fmtid="{D5CDD505-2E9C-101B-9397-08002B2CF9AE}">
    <vt:lpwstr>16</vt:lpwstr>
  </property>
  <property name="FSC#COOELAK@1.1001:FileRefOU" pid="55" fmtid="{D5CDD505-2E9C-101B-9397-08002B2CF9AE}">
    <vt:lpwstr>III.1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Roswitha Griesebner</vt:lpwstr>
  </property>
  <property name="FSC#COOELAK@1.1001:OwnerExtension" pid="58" fmtid="{D5CDD505-2E9C-101B-9397-08002B2CF9AE}">
    <vt:lpwstr>3784</vt:lpwstr>
  </property>
  <property name="FSC#COOELAK@1.1001:OwnerFaxExtension" pid="59" fmtid="{D5CDD505-2E9C-101B-9397-08002B2CF9AE}">
    <vt:lpwstr>3784</vt:lpwstr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BMEIA - III Sektionsassistenz (Sektionsassistenz III)</vt:lpwstr>
  </property>
  <property name="FSC#COOELAK@1.1001:CreatedAt" pid="65" fmtid="{D5CDD505-2E9C-101B-9397-08002B2CF9AE}">
    <vt:lpwstr>28.03.2014</vt:lpwstr>
  </property>
  <property name="FSC#COOELAK@1.1001:OU" pid="66" fmtid="{D5CDD505-2E9C-101B-9397-08002B2CF9AE}">
    <vt:lpwstr>BMEIA - III (Sektion)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*COO.3000.112.15.2635117*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*BMEIA-EU.3.13.04/0016-III.1/2014*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Weinmann Rupert, Mag.</vt:lpwstr>
  </property>
  <property name="FSC#COOELAK@1.1001:ProcessResponsiblePhone" pid="75" fmtid="{D5CDD505-2E9C-101B-9397-08002B2CF9AE}">
    <vt:lpwstr>3923</vt:lpwstr>
  </property>
  <property name="FSC#COOELAK@1.1001:ProcessResponsibleMail" pid="76" fmtid="{D5CDD505-2E9C-101B-9397-08002B2CF9AE}">
    <vt:lpwstr>rupert.weinmann@bmeia.gv.at</vt:lpwstr>
  </property>
  <property name="FSC#COOELAK@1.1001:ProcessResponsibleFax" pid="77" fmtid="{D5CDD505-2E9C-101B-9397-08002B2CF9AE}">
    <vt:lpwstr>3923</vt:lpwstr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/>
  </property>
  <property name="FSC#COOELAK@1.1001:CurrentUserRolePos" pid="84" fmtid="{D5CDD505-2E9C-101B-9397-08002B2CF9AE}">
    <vt:lpwstr>Sachbearbeiter/in</vt:lpwstr>
  </property>
  <property name="FSC#COOELAK@1.1001:CurrentUserEmail" pid="85" fmtid="{D5CDD505-2E9C-101B-9397-08002B2CF9AE}">
    <vt:lpwstr>gerrit.seidl@bmeia.gv.at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COO.3000.112.15.2635117</vt:lpwstr>
  </property>
  <property name="FSC#FSCFOLIO@1.1001:docpropproject" pid="141" fmtid="{D5CDD505-2E9C-101B-9397-08002B2CF9AE}">
    <vt:lpwstr/>
  </property>
</Properties>
</file>