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9A" w:rsidRPr="00E74B40" w:rsidRDefault="000C3A9A" w:rsidP="00E74B40">
      <w:pPr>
        <w:pBdr>
          <w:top w:val="single" w:sz="4" w:space="1" w:color="002060"/>
          <w:left w:val="single" w:sz="4" w:space="0" w:color="002060"/>
          <w:bottom w:val="single" w:sz="4" w:space="3" w:color="002060"/>
          <w:right w:val="single" w:sz="4" w:space="4" w:color="002060"/>
        </w:pBdr>
        <w:shd w:val="clear" w:color="auto" w:fill="002060"/>
        <w:spacing w:after="0"/>
        <w:jc w:val="center"/>
        <w:rPr>
          <w:rFonts w:ascii="Arial" w:hAnsi="Arial" w:cs="Arial"/>
          <w:b/>
          <w:sz w:val="28"/>
          <w:szCs w:val="28"/>
        </w:rPr>
      </w:pPr>
      <w:r w:rsidRPr="00E74B40">
        <w:rPr>
          <w:rFonts w:ascii="Arial" w:hAnsi="Arial" w:cs="Arial"/>
          <w:b/>
          <w:sz w:val="28"/>
          <w:szCs w:val="28"/>
        </w:rPr>
        <w:t>Glühbirnenverbot und neue EU-Vorschriften für Wasserhähne</w:t>
      </w:r>
    </w:p>
    <w:p w:rsidR="000C3A9A" w:rsidRPr="00E74B40" w:rsidRDefault="001072F6" w:rsidP="00E74B40">
      <w:pPr>
        <w:pBdr>
          <w:top w:val="single" w:sz="4" w:space="1" w:color="002060"/>
          <w:left w:val="single" w:sz="4" w:space="0" w:color="002060"/>
          <w:bottom w:val="single" w:sz="4" w:space="3" w:color="002060"/>
          <w:right w:val="single" w:sz="4" w:space="4" w:color="002060"/>
        </w:pBdr>
        <w:shd w:val="clear" w:color="auto" w:fill="002060"/>
        <w:spacing w:after="0"/>
        <w:jc w:val="center"/>
        <w:rPr>
          <w:rFonts w:ascii="Arial" w:hAnsi="Arial" w:cs="Arial"/>
          <w:b/>
          <w:sz w:val="28"/>
          <w:szCs w:val="28"/>
        </w:rPr>
      </w:pPr>
      <w:r w:rsidRPr="00E74B40">
        <w:rPr>
          <w:rFonts w:ascii="Arial" w:hAnsi="Arial" w:cs="Arial"/>
          <w:b/>
          <w:sz w:val="28"/>
          <w:szCs w:val="28"/>
        </w:rPr>
        <w:t>Die</w:t>
      </w:r>
      <w:r w:rsidR="000C3A9A" w:rsidRPr="00E74B40">
        <w:rPr>
          <w:rFonts w:ascii="Arial" w:hAnsi="Arial" w:cs="Arial"/>
          <w:b/>
          <w:sz w:val="28"/>
          <w:szCs w:val="28"/>
        </w:rPr>
        <w:t xml:space="preserve"> Ökodesign-Richtlinie – Fakten statt Mythen</w:t>
      </w:r>
    </w:p>
    <w:p w:rsidR="001072F6" w:rsidRPr="00E74B40" w:rsidRDefault="001072F6" w:rsidP="00E74B40">
      <w:pPr>
        <w:pBdr>
          <w:top w:val="single" w:sz="4" w:space="1" w:color="002060"/>
          <w:left w:val="single" w:sz="4" w:space="0" w:color="002060"/>
          <w:bottom w:val="single" w:sz="4" w:space="3" w:color="002060"/>
          <w:right w:val="single" w:sz="4" w:space="4" w:color="002060"/>
        </w:pBdr>
        <w:shd w:val="clear" w:color="auto" w:fill="002060"/>
        <w:spacing w:after="0"/>
        <w:jc w:val="both"/>
        <w:rPr>
          <w:rFonts w:ascii="Arial" w:hAnsi="Arial" w:cs="Arial"/>
          <w:b/>
          <w:sz w:val="8"/>
          <w:szCs w:val="8"/>
        </w:rPr>
      </w:pPr>
    </w:p>
    <w:p w:rsidR="00FE3F24" w:rsidRDefault="00FE3F24" w:rsidP="001072F6">
      <w:pPr>
        <w:spacing w:after="120"/>
        <w:jc w:val="both"/>
        <w:rPr>
          <w:rFonts w:ascii="Arial" w:hAnsi="Arial" w:cs="Arial"/>
          <w:sz w:val="24"/>
          <w:szCs w:val="24"/>
          <w:lang w:eastAsia="de-AT"/>
        </w:rPr>
      </w:pPr>
    </w:p>
    <w:p w:rsidR="000C3A9A" w:rsidRDefault="000C3A9A" w:rsidP="001072F6">
      <w:pPr>
        <w:spacing w:after="120"/>
        <w:jc w:val="both"/>
        <w:rPr>
          <w:rFonts w:ascii="Arial" w:hAnsi="Arial" w:cs="Arial"/>
          <w:color w:val="000000" w:themeColor="text1"/>
          <w:sz w:val="24"/>
          <w:szCs w:val="24"/>
        </w:rPr>
      </w:pPr>
      <w:r>
        <w:rPr>
          <w:rFonts w:ascii="Arial" w:hAnsi="Arial" w:cs="Arial"/>
          <w:sz w:val="24"/>
          <w:szCs w:val="24"/>
          <w:lang w:eastAsia="de-AT"/>
        </w:rPr>
        <w:t xml:space="preserve">Grundlage für </w:t>
      </w:r>
      <w:r w:rsidR="00B93515">
        <w:rPr>
          <w:rFonts w:ascii="Arial" w:hAnsi="Arial" w:cs="Arial"/>
          <w:sz w:val="24"/>
          <w:szCs w:val="24"/>
          <w:lang w:eastAsia="de-AT"/>
        </w:rPr>
        <w:t xml:space="preserve">u.a. </w:t>
      </w:r>
      <w:r>
        <w:rPr>
          <w:rFonts w:ascii="Arial" w:hAnsi="Arial" w:cs="Arial"/>
          <w:sz w:val="24"/>
          <w:szCs w:val="24"/>
          <w:lang w:eastAsia="de-AT"/>
        </w:rPr>
        <w:t xml:space="preserve">die </w:t>
      </w:r>
      <w:r>
        <w:rPr>
          <w:rFonts w:ascii="Arial" w:hAnsi="Arial" w:cs="Arial"/>
          <w:color w:val="000000" w:themeColor="text1"/>
          <w:sz w:val="24"/>
          <w:szCs w:val="24"/>
        </w:rPr>
        <w:t xml:space="preserve">EU-weite Regelung der Haushaltsbeleuchtung </w:t>
      </w:r>
      <w:r>
        <w:rPr>
          <w:rFonts w:ascii="Arial" w:hAnsi="Arial" w:cs="Arial"/>
          <w:sz w:val="24"/>
          <w:szCs w:val="24"/>
          <w:lang w:eastAsia="de-AT"/>
        </w:rPr>
        <w:t xml:space="preserve">ist die </w:t>
      </w:r>
      <w:r w:rsidR="001072F6">
        <w:rPr>
          <w:rFonts w:ascii="Arial" w:hAnsi="Arial" w:cs="Arial"/>
          <w:sz w:val="24"/>
          <w:szCs w:val="24"/>
          <w:lang w:eastAsia="de-AT"/>
        </w:rPr>
        <w:t xml:space="preserve">sogenannte </w:t>
      </w:r>
      <w:r w:rsidRPr="001072F6">
        <w:rPr>
          <w:rFonts w:ascii="Arial" w:hAnsi="Arial" w:cs="Arial"/>
          <w:b/>
          <w:color w:val="000000" w:themeColor="text1"/>
          <w:sz w:val="24"/>
          <w:szCs w:val="24"/>
        </w:rPr>
        <w:t>Ökodesign-Richtlinie</w:t>
      </w:r>
      <w:r>
        <w:rPr>
          <w:rFonts w:ascii="Arial" w:hAnsi="Arial" w:cs="Arial"/>
          <w:color w:val="000000" w:themeColor="text1"/>
          <w:sz w:val="24"/>
          <w:szCs w:val="24"/>
        </w:rPr>
        <w:t xml:space="preserve">, mit </w:t>
      </w:r>
      <w:r w:rsidR="00B93515">
        <w:rPr>
          <w:rFonts w:ascii="Arial" w:hAnsi="Arial" w:cs="Arial"/>
          <w:color w:val="000000" w:themeColor="text1"/>
          <w:sz w:val="24"/>
          <w:szCs w:val="24"/>
        </w:rPr>
        <w:t>der</w:t>
      </w:r>
      <w:r>
        <w:rPr>
          <w:rFonts w:ascii="Arial" w:hAnsi="Arial" w:cs="Arial"/>
          <w:color w:val="000000" w:themeColor="text1"/>
          <w:sz w:val="24"/>
          <w:szCs w:val="24"/>
        </w:rPr>
        <w:t xml:space="preserve"> Produktgruppen auf ihre Energiesparpotenziale untersucht und</w:t>
      </w:r>
      <w:r>
        <w:rPr>
          <w:rFonts w:ascii="Arial" w:hAnsi="Arial" w:cs="Arial"/>
          <w:sz w:val="24"/>
          <w:szCs w:val="24"/>
          <w:lang w:eastAsia="de-AT"/>
        </w:rPr>
        <w:t xml:space="preserve"> EU-weit gültige Mindestanforderungen festgelegt </w:t>
      </w:r>
      <w:r w:rsidR="001072F6">
        <w:rPr>
          <w:rFonts w:ascii="Arial" w:hAnsi="Arial" w:cs="Arial"/>
          <w:color w:val="000000" w:themeColor="text1"/>
          <w:sz w:val="24"/>
          <w:szCs w:val="24"/>
        </w:rPr>
        <w:t>werden sollen.</w:t>
      </w:r>
    </w:p>
    <w:p w:rsidR="000C3A9A" w:rsidRDefault="000C3A9A" w:rsidP="001072F6">
      <w:pPr>
        <w:spacing w:after="120"/>
        <w:jc w:val="both"/>
        <w:rPr>
          <w:rFonts w:ascii="Arial" w:hAnsi="Arial" w:cs="Arial"/>
          <w:sz w:val="24"/>
          <w:szCs w:val="24"/>
        </w:rPr>
      </w:pPr>
      <w:r>
        <w:rPr>
          <w:rFonts w:ascii="Arial" w:hAnsi="Arial" w:cs="Arial"/>
          <w:sz w:val="24"/>
          <w:szCs w:val="24"/>
        </w:rPr>
        <w:t xml:space="preserve">Ziel ist </w:t>
      </w:r>
      <w:r w:rsidR="00B93515">
        <w:rPr>
          <w:rFonts w:ascii="Arial" w:hAnsi="Arial" w:cs="Arial"/>
          <w:sz w:val="24"/>
          <w:szCs w:val="24"/>
        </w:rPr>
        <w:t>eine Einsparung von</w:t>
      </w:r>
      <w:r>
        <w:rPr>
          <w:rFonts w:ascii="Arial" w:hAnsi="Arial" w:cs="Arial"/>
          <w:sz w:val="24"/>
          <w:szCs w:val="24"/>
        </w:rPr>
        <w:t xml:space="preserve"> </w:t>
      </w:r>
      <w:r>
        <w:rPr>
          <w:rFonts w:ascii="Arial" w:hAnsi="Arial" w:cs="Arial"/>
          <w:b/>
          <w:bCs/>
          <w:sz w:val="24"/>
          <w:szCs w:val="24"/>
        </w:rPr>
        <w:t>Energie und andere</w:t>
      </w:r>
      <w:r w:rsidR="00B93515">
        <w:rPr>
          <w:rFonts w:ascii="Arial" w:hAnsi="Arial" w:cs="Arial"/>
          <w:b/>
          <w:bCs/>
          <w:sz w:val="24"/>
          <w:szCs w:val="24"/>
        </w:rPr>
        <w:t>n</w:t>
      </w:r>
      <w:r>
        <w:rPr>
          <w:rFonts w:ascii="Arial" w:hAnsi="Arial" w:cs="Arial"/>
          <w:b/>
          <w:bCs/>
          <w:sz w:val="24"/>
          <w:szCs w:val="24"/>
        </w:rPr>
        <w:t xml:space="preserve"> Ressourcen bei Herstellung, Betrieb und Entsorgung der betroffenen Produkte. </w:t>
      </w:r>
      <w:r>
        <w:rPr>
          <w:rFonts w:ascii="Arial" w:hAnsi="Arial" w:cs="Arial"/>
          <w:bCs/>
          <w:sz w:val="24"/>
          <w:szCs w:val="24"/>
        </w:rPr>
        <w:t xml:space="preserve">Zusätzlich sollen dadurch die in den einzelnen Mitgliedsstaaten unterschiedlichen </w:t>
      </w:r>
      <w:r>
        <w:rPr>
          <w:rFonts w:ascii="Arial" w:hAnsi="Arial" w:cs="Arial"/>
          <w:sz w:val="24"/>
          <w:szCs w:val="24"/>
        </w:rPr>
        <w:t xml:space="preserve">Rechtsvorschriften aneinander angeglichen werden. Ein weiterer Vorteil ist der Abbau technischer Handelshemmnisse, wie </w:t>
      </w:r>
      <w:r w:rsidR="00D110CC">
        <w:rPr>
          <w:rFonts w:ascii="Arial" w:hAnsi="Arial" w:cs="Arial"/>
          <w:sz w:val="24"/>
          <w:szCs w:val="24"/>
        </w:rPr>
        <w:t>beispielsweise</w:t>
      </w:r>
      <w:r>
        <w:rPr>
          <w:rFonts w:ascii="Arial" w:hAnsi="Arial" w:cs="Arial"/>
          <w:sz w:val="24"/>
          <w:szCs w:val="24"/>
        </w:rPr>
        <w:t xml:space="preserve"> unterschiedliche</w:t>
      </w:r>
      <w:r w:rsidR="00B93515">
        <w:rPr>
          <w:rFonts w:ascii="Arial" w:hAnsi="Arial" w:cs="Arial"/>
          <w:sz w:val="24"/>
          <w:szCs w:val="24"/>
        </w:rPr>
        <w:t>r</w:t>
      </w:r>
      <w:r>
        <w:rPr>
          <w:rFonts w:ascii="Arial" w:hAnsi="Arial" w:cs="Arial"/>
          <w:sz w:val="24"/>
          <w:szCs w:val="24"/>
        </w:rPr>
        <w:t xml:space="preserve"> Produktvorschriften innerhalb Europas. </w:t>
      </w:r>
    </w:p>
    <w:p w:rsidR="000C3A9A" w:rsidRDefault="000C3A9A" w:rsidP="001072F6">
      <w:pPr>
        <w:spacing w:after="120"/>
        <w:jc w:val="both"/>
        <w:rPr>
          <w:rFonts w:ascii="Arial" w:hAnsi="Arial" w:cs="Arial"/>
          <w:color w:val="000000" w:themeColor="text1"/>
          <w:sz w:val="24"/>
          <w:szCs w:val="24"/>
        </w:rPr>
      </w:pPr>
      <w:r>
        <w:rPr>
          <w:rFonts w:ascii="Arial" w:hAnsi="Arial" w:cs="Arial"/>
          <w:color w:val="000000" w:themeColor="text1"/>
          <w:sz w:val="24"/>
          <w:szCs w:val="24"/>
        </w:rPr>
        <w:t xml:space="preserve">Separate Durchführungsverordnungen regeln die Anforderungen an einzelne Produktgruppen - von der Haushaltsbeleuchtung bis zu Waschmaschinen, Geschirrspüler und Wäschetrockner. </w:t>
      </w:r>
    </w:p>
    <w:p w:rsidR="000C3A9A" w:rsidRDefault="000C3A9A" w:rsidP="001072F6">
      <w:pPr>
        <w:spacing w:after="120"/>
        <w:jc w:val="both"/>
        <w:rPr>
          <w:rFonts w:ascii="Arial" w:hAnsi="Arial" w:cs="Arial"/>
          <w:color w:val="000000" w:themeColor="text1"/>
          <w:sz w:val="24"/>
          <w:szCs w:val="24"/>
        </w:rPr>
      </w:pPr>
      <w:r>
        <w:rPr>
          <w:rFonts w:ascii="Arial" w:hAnsi="Arial" w:cs="Arial"/>
          <w:color w:val="000000" w:themeColor="text1"/>
          <w:sz w:val="24"/>
          <w:szCs w:val="24"/>
        </w:rPr>
        <w:t xml:space="preserve">Auch Wasserhähne und Duschköpfe sollen auf </w:t>
      </w:r>
      <w:r w:rsidR="00B93515">
        <w:rPr>
          <w:rFonts w:ascii="Arial" w:hAnsi="Arial" w:cs="Arial"/>
          <w:color w:val="000000" w:themeColor="text1"/>
          <w:sz w:val="24"/>
          <w:szCs w:val="24"/>
        </w:rPr>
        <w:t xml:space="preserve">ihr </w:t>
      </w:r>
      <w:r>
        <w:rPr>
          <w:rFonts w:ascii="Arial" w:hAnsi="Arial" w:cs="Arial"/>
          <w:color w:val="000000" w:themeColor="text1"/>
          <w:sz w:val="24"/>
          <w:szCs w:val="24"/>
        </w:rPr>
        <w:t>Energiespa</w:t>
      </w:r>
      <w:r w:rsidR="00B93515">
        <w:rPr>
          <w:rFonts w:ascii="Arial" w:hAnsi="Arial" w:cs="Arial"/>
          <w:color w:val="000000" w:themeColor="text1"/>
          <w:sz w:val="24"/>
          <w:szCs w:val="24"/>
        </w:rPr>
        <w:t>rpotenzial</w:t>
      </w:r>
      <w:r w:rsidR="001072F6">
        <w:rPr>
          <w:rFonts w:ascii="Arial" w:hAnsi="Arial" w:cs="Arial"/>
          <w:color w:val="000000" w:themeColor="text1"/>
          <w:sz w:val="24"/>
          <w:szCs w:val="24"/>
        </w:rPr>
        <w:t xml:space="preserve"> untersucht  werden.</w:t>
      </w:r>
    </w:p>
    <w:p w:rsidR="000C3A9A" w:rsidRPr="001072F6" w:rsidRDefault="000C3A9A" w:rsidP="001072F6">
      <w:pPr>
        <w:tabs>
          <w:tab w:val="right" w:pos="9000"/>
        </w:tabs>
        <w:autoSpaceDE w:val="0"/>
        <w:autoSpaceDN w:val="0"/>
        <w:adjustRightInd w:val="0"/>
        <w:spacing w:after="120"/>
        <w:jc w:val="both"/>
        <w:rPr>
          <w:rFonts w:ascii="Arial" w:hAnsi="Arial" w:cs="Arial"/>
          <w:bCs/>
          <w:iCs/>
          <w:color w:val="000000"/>
          <w:sz w:val="24"/>
          <w:szCs w:val="24"/>
          <w:lang w:eastAsia="zh-TW"/>
        </w:rPr>
      </w:pPr>
    </w:p>
    <w:p w:rsidR="000C3A9A" w:rsidRDefault="000C3A9A" w:rsidP="001072F6">
      <w:pPr>
        <w:spacing w:after="120"/>
        <w:jc w:val="both"/>
        <w:rPr>
          <w:rFonts w:ascii="Arial" w:hAnsi="Arial" w:cs="Arial"/>
          <w:b/>
          <w:color w:val="0070C0"/>
          <w:sz w:val="24"/>
          <w:szCs w:val="24"/>
          <w:lang w:eastAsia="de-AT"/>
        </w:rPr>
      </w:pPr>
      <w:r>
        <w:rPr>
          <w:rFonts w:ascii="Arial" w:hAnsi="Arial" w:cs="Arial"/>
          <w:b/>
          <w:color w:val="0070C0"/>
          <w:sz w:val="24"/>
          <w:szCs w:val="24"/>
          <w:lang w:eastAsia="de-AT"/>
        </w:rPr>
        <w:t>Was sind die spezifischen Inhalte der Ökodesign-Richtlinie?</w:t>
      </w:r>
    </w:p>
    <w:p w:rsidR="000C3A9A" w:rsidRDefault="000C3A9A" w:rsidP="001072F6">
      <w:pPr>
        <w:spacing w:after="120"/>
        <w:jc w:val="both"/>
        <w:rPr>
          <w:rFonts w:ascii="Arial" w:hAnsi="Arial" w:cs="Arial"/>
          <w:sz w:val="24"/>
          <w:szCs w:val="24"/>
          <w:lang w:eastAsia="de-AT"/>
        </w:rPr>
      </w:pPr>
      <w:r>
        <w:rPr>
          <w:rFonts w:ascii="Arial" w:hAnsi="Arial" w:cs="Arial"/>
          <w:sz w:val="24"/>
          <w:szCs w:val="24"/>
          <w:lang w:eastAsia="de-AT"/>
        </w:rPr>
        <w:t>Die 2005 angenommene</w:t>
      </w:r>
      <w:r>
        <w:rPr>
          <w:rFonts w:ascii="Arial" w:hAnsi="Arial" w:cs="Arial"/>
          <w:color w:val="000000" w:themeColor="text1"/>
          <w:sz w:val="24"/>
          <w:szCs w:val="24"/>
        </w:rPr>
        <w:t xml:space="preserve"> </w:t>
      </w:r>
      <w:r>
        <w:rPr>
          <w:rFonts w:ascii="Arial" w:hAnsi="Arial" w:cs="Arial"/>
          <w:b/>
          <w:sz w:val="24"/>
          <w:szCs w:val="24"/>
          <w:lang w:eastAsia="de-AT"/>
        </w:rPr>
        <w:t>EU-Rahmenrichtlinie über die umweltgerechte Gestaltung energieverbrauchsrelevanter Produkte (Ökodesign-Richtlinie)</w:t>
      </w:r>
      <w:r>
        <w:rPr>
          <w:rStyle w:val="Funotenzeichen"/>
          <w:b/>
          <w:lang w:eastAsia="de-AT"/>
        </w:rPr>
        <w:footnoteReference w:id="1"/>
      </w:r>
      <w:r>
        <w:rPr>
          <w:rFonts w:ascii="Arial" w:hAnsi="Arial" w:cs="Arial"/>
          <w:b/>
          <w:sz w:val="24"/>
          <w:szCs w:val="24"/>
          <w:lang w:eastAsia="de-AT"/>
        </w:rPr>
        <w:t xml:space="preserve"> </w:t>
      </w:r>
      <w:r>
        <w:rPr>
          <w:rFonts w:ascii="Arial" w:hAnsi="Arial" w:cs="Arial"/>
          <w:sz w:val="24"/>
          <w:szCs w:val="24"/>
          <w:lang w:eastAsia="de-AT"/>
        </w:rPr>
        <w:t xml:space="preserve">gibt der Europäischen Kommission die Möglichkeit, für Produkte und deren umweltrelevante Eigenschaften </w:t>
      </w:r>
      <w:r>
        <w:rPr>
          <w:rFonts w:ascii="Arial" w:hAnsi="Arial" w:cs="Arial"/>
          <w:b/>
          <w:sz w:val="24"/>
          <w:szCs w:val="24"/>
          <w:lang w:eastAsia="de-AT"/>
        </w:rPr>
        <w:t>Mindestanforderungen</w:t>
      </w:r>
      <w:r>
        <w:rPr>
          <w:rFonts w:ascii="Arial" w:hAnsi="Arial" w:cs="Arial"/>
          <w:sz w:val="24"/>
          <w:szCs w:val="24"/>
          <w:lang w:eastAsia="de-AT"/>
        </w:rPr>
        <w:t xml:space="preserve"> festzulegen. Umfasst sind </w:t>
      </w:r>
      <w:r>
        <w:rPr>
          <w:rFonts w:ascii="Arial" w:hAnsi="Arial" w:cs="Arial"/>
          <w:b/>
          <w:bCs/>
          <w:sz w:val="24"/>
          <w:szCs w:val="24"/>
          <w:lang w:eastAsia="de-AT"/>
        </w:rPr>
        <w:t>Produktkategorien</w:t>
      </w:r>
      <w:r>
        <w:rPr>
          <w:rFonts w:ascii="Arial" w:hAnsi="Arial" w:cs="Arial"/>
          <w:sz w:val="24"/>
          <w:szCs w:val="24"/>
          <w:lang w:eastAsia="de-AT"/>
        </w:rPr>
        <w:t xml:space="preserve">, die erhebliche Auswirkungen auf die Umwelt haben und für deren Umweltverträglichkeit ein deutliches Verbesserungspotenzial besteht. </w:t>
      </w:r>
      <w:r w:rsidR="00B93515">
        <w:rPr>
          <w:rFonts w:ascii="Arial" w:hAnsi="Arial" w:cs="Arial"/>
          <w:sz w:val="24"/>
          <w:szCs w:val="24"/>
        </w:rPr>
        <w:t>Von der Richtlinie b</w:t>
      </w:r>
      <w:r>
        <w:rPr>
          <w:rFonts w:ascii="Arial" w:hAnsi="Arial" w:cs="Arial"/>
          <w:sz w:val="24"/>
          <w:szCs w:val="24"/>
        </w:rPr>
        <w:t xml:space="preserve">etroffen sind mit Ausnahme von Verkehrsmitteln nahezu alle Elektrizität verbrauchenden Produkte, darunter Kühlschränke, Staubsauger, TV-Geräte, Computer, </w:t>
      </w:r>
      <w:r>
        <w:rPr>
          <w:rFonts w:ascii="Arial" w:hAnsi="Arial" w:cs="Arial"/>
          <w:b/>
          <w:sz w:val="24"/>
          <w:szCs w:val="24"/>
        </w:rPr>
        <w:t>sofern davon jährlich mindestens 200.000 Stück im Gebiet der EU in Umlauf gebracht werden</w:t>
      </w:r>
      <w:r>
        <w:rPr>
          <w:rFonts w:ascii="Arial" w:hAnsi="Arial" w:cs="Arial"/>
          <w:sz w:val="24"/>
          <w:szCs w:val="24"/>
        </w:rPr>
        <w:t>.</w:t>
      </w:r>
    </w:p>
    <w:p w:rsidR="000C3A9A" w:rsidRDefault="000C3A9A" w:rsidP="001072F6">
      <w:pPr>
        <w:spacing w:after="120"/>
        <w:jc w:val="both"/>
        <w:rPr>
          <w:rFonts w:ascii="Arial" w:hAnsi="Arial" w:cs="Arial"/>
          <w:sz w:val="24"/>
          <w:szCs w:val="24"/>
          <w:lang w:eastAsia="de-AT"/>
        </w:rPr>
      </w:pPr>
      <w:r>
        <w:rPr>
          <w:rFonts w:ascii="Arial" w:hAnsi="Arial" w:cs="Arial"/>
          <w:sz w:val="24"/>
          <w:szCs w:val="24"/>
          <w:lang w:eastAsia="de-AT"/>
        </w:rPr>
        <w:t>Bei der Ökodesign-Richtlinie handelt es sich um eine Rahmenrichtlinie, die selbst keine detaillierten Anforderungen an bestimmte Produkte definiert. Da unterschiedliche Produktgruppen wie etwa Heizungen und Fernseher nicht an identischen Öko-Design Vorgaben gemessen werden können, werden bei Bedarf für jedes Produkt eigene Durchführungsmaßnahmen erlassen. Diese Durchführungsmaßnahmen definieren für eine Produktgruppe, was der Hersteller bereits bei der Entwicklung des Produktes berücksichtigen und dokumentieren muss und können auch Energieeffizienzgrenzen enthalten, die nicht unterschritten werden dürfen.</w:t>
      </w:r>
      <w:r>
        <w:rPr>
          <w:rFonts w:ascii="Arial" w:hAnsi="Arial" w:cs="Arial"/>
          <w:color w:val="000000" w:themeColor="text1"/>
          <w:sz w:val="24"/>
          <w:szCs w:val="24"/>
        </w:rPr>
        <w:t xml:space="preserve"> Um den Herstellern der betroffenen Produkte ausreichend Zeit für mögliche Anpassungen ihrer Produkte zu geben, treten die Durchführungsmaßnahmen schrittweise in Kraft. </w:t>
      </w:r>
    </w:p>
    <w:p w:rsidR="000C3A9A" w:rsidRDefault="000C3A9A" w:rsidP="001072F6">
      <w:pPr>
        <w:spacing w:after="120"/>
        <w:jc w:val="both"/>
        <w:rPr>
          <w:rFonts w:ascii="Arial" w:hAnsi="Arial" w:cs="Arial"/>
          <w:b/>
          <w:color w:val="0070C0"/>
          <w:sz w:val="24"/>
          <w:szCs w:val="24"/>
        </w:rPr>
      </w:pPr>
      <w:r>
        <w:rPr>
          <w:rFonts w:ascii="Arial" w:hAnsi="Arial" w:cs="Arial"/>
          <w:b/>
          <w:color w:val="0070C0"/>
          <w:sz w:val="24"/>
          <w:szCs w:val="24"/>
        </w:rPr>
        <w:lastRenderedPageBreak/>
        <w:t>Welche Gründe sprechen für das sogenannte „Glühbirnenverbot“ und wie steht es mit längerfristigen Energieeinsparungen durch neue Leuchtmittel?</w:t>
      </w:r>
    </w:p>
    <w:p w:rsidR="000C3A9A" w:rsidRDefault="000C3A9A" w:rsidP="001072F6">
      <w:pPr>
        <w:spacing w:after="120"/>
        <w:jc w:val="both"/>
        <w:rPr>
          <w:rFonts w:ascii="Arial" w:hAnsi="Arial" w:cs="Arial"/>
          <w:lang w:val="de-DE" w:eastAsia="de-AT"/>
        </w:rPr>
      </w:pPr>
      <w:r>
        <w:rPr>
          <w:rFonts w:ascii="Arial" w:hAnsi="Arial" w:cs="Arial"/>
          <w:sz w:val="24"/>
          <w:szCs w:val="24"/>
          <w:lang w:eastAsia="de-AT"/>
        </w:rPr>
        <w:t>Anlass für das stufenweise Verbot für herkömmliche Glühbirnen ist der beträchtliche Energieverlust herkömmlicher Glühbirnen durch Wärmeabstrahlung. Die Verwendung von Energiesparlampen verringert den Gesamtenergieverbrauch und die Umweltauswirkungen der Beleuchtung nachhaltig.</w:t>
      </w:r>
      <w:r>
        <w:rPr>
          <w:rFonts w:ascii="Arial" w:hAnsi="Arial" w:cs="Arial"/>
          <w:lang w:eastAsia="de-AT"/>
        </w:rPr>
        <w:t xml:space="preserve"> </w:t>
      </w:r>
      <w:r>
        <w:rPr>
          <w:rFonts w:ascii="Arial" w:hAnsi="Arial" w:cs="Arial"/>
          <w:sz w:val="24"/>
          <w:szCs w:val="24"/>
          <w:lang w:val="de-DE" w:eastAsia="de-AT"/>
        </w:rPr>
        <w:t xml:space="preserve">Generell verbrauchen Energiesparlampen </w:t>
      </w:r>
      <w:r>
        <w:rPr>
          <w:rFonts w:ascii="Arial" w:hAnsi="Arial" w:cs="Arial"/>
          <w:b/>
          <w:sz w:val="24"/>
          <w:szCs w:val="24"/>
          <w:lang w:val="de-DE" w:eastAsia="de-AT"/>
        </w:rPr>
        <w:t>deutlich weniger Strom</w:t>
      </w:r>
      <w:r>
        <w:rPr>
          <w:rFonts w:ascii="Arial" w:hAnsi="Arial" w:cs="Arial"/>
          <w:sz w:val="24"/>
          <w:szCs w:val="24"/>
          <w:lang w:val="de-DE" w:eastAsia="de-AT"/>
        </w:rPr>
        <w:t>, da sie wesentlich weniger Wärme erzeugen.</w:t>
      </w:r>
    </w:p>
    <w:p w:rsidR="000C3A9A" w:rsidRDefault="000C3A9A" w:rsidP="001072F6">
      <w:pPr>
        <w:spacing w:after="120"/>
        <w:jc w:val="both"/>
        <w:rPr>
          <w:rFonts w:ascii="Arial" w:hAnsi="Arial" w:cs="Arial"/>
          <w:sz w:val="24"/>
          <w:szCs w:val="24"/>
          <w:lang w:val="de-DE" w:eastAsia="de-AT"/>
        </w:rPr>
      </w:pPr>
      <w:r>
        <w:rPr>
          <w:rFonts w:ascii="Arial" w:hAnsi="Arial" w:cs="Arial"/>
          <w:sz w:val="24"/>
          <w:szCs w:val="24"/>
          <w:lang w:val="de-DE" w:eastAsia="de-AT"/>
        </w:rPr>
        <w:t xml:space="preserve">Eine Erhebung der Europäischen Kommission kam zum Schluss, </w:t>
      </w:r>
      <w:r>
        <w:rPr>
          <w:rFonts w:ascii="Arial" w:hAnsi="Arial" w:cs="Arial"/>
          <w:color w:val="000000" w:themeColor="text1"/>
          <w:sz w:val="24"/>
          <w:szCs w:val="24"/>
        </w:rPr>
        <w:t xml:space="preserve">dass die für das Jahr </w:t>
      </w:r>
      <w:r>
        <w:rPr>
          <w:rFonts w:ascii="Arial" w:hAnsi="Arial" w:cs="Arial"/>
          <w:b/>
          <w:color w:val="000000" w:themeColor="text1"/>
          <w:sz w:val="24"/>
          <w:szCs w:val="24"/>
        </w:rPr>
        <w:t>2020</w:t>
      </w:r>
      <w:r>
        <w:rPr>
          <w:rFonts w:ascii="Arial" w:hAnsi="Arial" w:cs="Arial"/>
          <w:color w:val="000000" w:themeColor="text1"/>
          <w:sz w:val="24"/>
          <w:szCs w:val="24"/>
        </w:rPr>
        <w:t xml:space="preserve"> mit jährlich </w:t>
      </w:r>
      <w:r>
        <w:rPr>
          <w:rFonts w:ascii="Arial" w:hAnsi="Arial" w:cs="Arial"/>
          <w:b/>
          <w:color w:val="000000" w:themeColor="text1"/>
          <w:sz w:val="24"/>
          <w:szCs w:val="24"/>
        </w:rPr>
        <w:t>39 Mrd. Kilowattstunden (kWh)</w:t>
      </w:r>
      <w:r>
        <w:rPr>
          <w:rFonts w:ascii="Arial" w:hAnsi="Arial" w:cs="Arial"/>
          <w:color w:val="000000" w:themeColor="text1"/>
          <w:sz w:val="24"/>
          <w:szCs w:val="24"/>
        </w:rPr>
        <w:t xml:space="preserve"> berechneten </w:t>
      </w:r>
      <w:r>
        <w:rPr>
          <w:rFonts w:ascii="Arial" w:hAnsi="Arial" w:cs="Arial"/>
          <w:b/>
          <w:color w:val="000000" w:themeColor="text1"/>
          <w:sz w:val="24"/>
          <w:szCs w:val="24"/>
        </w:rPr>
        <w:t>Energieeinsparungen</w:t>
      </w:r>
      <w:r>
        <w:rPr>
          <w:rFonts w:ascii="Arial" w:hAnsi="Arial" w:cs="Arial"/>
          <w:color w:val="000000" w:themeColor="text1"/>
          <w:sz w:val="24"/>
          <w:szCs w:val="24"/>
        </w:rPr>
        <w:t xml:space="preserve"> dem </w:t>
      </w:r>
      <w:r>
        <w:rPr>
          <w:rFonts w:ascii="Arial" w:hAnsi="Arial" w:cs="Arial"/>
          <w:b/>
          <w:color w:val="000000" w:themeColor="text1"/>
          <w:sz w:val="24"/>
          <w:szCs w:val="24"/>
        </w:rPr>
        <w:t>jährlichen</w:t>
      </w:r>
      <w:r>
        <w:rPr>
          <w:rFonts w:ascii="Arial" w:hAnsi="Arial" w:cs="Arial"/>
          <w:color w:val="000000" w:themeColor="text1"/>
          <w:sz w:val="24"/>
          <w:szCs w:val="24"/>
        </w:rPr>
        <w:t xml:space="preserve"> </w:t>
      </w:r>
      <w:r>
        <w:rPr>
          <w:rFonts w:ascii="Arial" w:hAnsi="Arial" w:cs="Arial"/>
          <w:b/>
          <w:color w:val="000000" w:themeColor="text1"/>
          <w:sz w:val="24"/>
          <w:szCs w:val="24"/>
        </w:rPr>
        <w:t>Stromverbrauch von 11 Millionen Haushalten</w:t>
      </w:r>
      <w:r>
        <w:rPr>
          <w:rFonts w:ascii="Arial" w:hAnsi="Arial" w:cs="Arial"/>
          <w:color w:val="000000" w:themeColor="text1"/>
          <w:sz w:val="24"/>
          <w:szCs w:val="24"/>
        </w:rPr>
        <w:t xml:space="preserve"> entsprechen (dies </w:t>
      </w:r>
      <w:r>
        <w:rPr>
          <w:rFonts w:ascii="Arial" w:hAnsi="Arial" w:cs="Arial"/>
          <w:sz w:val="24"/>
          <w:szCs w:val="24"/>
          <w:lang w:val="de-DE" w:eastAsia="de-AT"/>
        </w:rPr>
        <w:t xml:space="preserve">entspricht </w:t>
      </w:r>
      <w:r>
        <w:rPr>
          <w:rFonts w:ascii="Arial" w:hAnsi="Arial" w:cs="Arial"/>
          <w:b/>
          <w:sz w:val="24"/>
          <w:szCs w:val="24"/>
          <w:lang w:val="de-DE" w:eastAsia="de-AT"/>
        </w:rPr>
        <w:t>16 Millionen Tonnen CO2-Ausstoss).</w:t>
      </w:r>
      <w:r>
        <w:rPr>
          <w:rFonts w:ascii="Arial" w:hAnsi="Arial" w:cs="Arial"/>
          <w:color w:val="000000" w:themeColor="text1"/>
          <w:sz w:val="24"/>
          <w:szCs w:val="24"/>
        </w:rPr>
        <w:t xml:space="preserve"> Eine Zusatzanalyse hat gezeigt, dass bei Mitberücksichtigung des Energiebedarfs für Herstellung und Recycling die geschätzten Einsparungen noch höher ausfallen (ca. 42 Mrd. kWh). Der an sich höhere Herstellungs- und Recyclingenergiebedarf für Kompaktleuchtstofflampen wird aufgewogen, da sie während ihrer Lebensdauer fünf bis fünfzehn herkömmliche Glühlampen ersetzen können. </w:t>
      </w:r>
    </w:p>
    <w:p w:rsidR="000C3A9A" w:rsidRPr="001072F6" w:rsidRDefault="000C3A9A" w:rsidP="001072F6">
      <w:pPr>
        <w:tabs>
          <w:tab w:val="right" w:pos="9000"/>
        </w:tabs>
        <w:autoSpaceDE w:val="0"/>
        <w:autoSpaceDN w:val="0"/>
        <w:adjustRightInd w:val="0"/>
        <w:spacing w:after="120"/>
        <w:jc w:val="both"/>
        <w:rPr>
          <w:rFonts w:ascii="Arial" w:hAnsi="Arial" w:cs="Arial"/>
          <w:bCs/>
          <w:iCs/>
          <w:color w:val="000000"/>
          <w:sz w:val="24"/>
          <w:szCs w:val="24"/>
          <w:lang w:eastAsia="zh-TW"/>
        </w:rPr>
      </w:pPr>
    </w:p>
    <w:p w:rsidR="000C3A9A" w:rsidRDefault="000C3A9A" w:rsidP="001072F6">
      <w:pPr>
        <w:pStyle w:val="Listenabsatz"/>
        <w:spacing w:after="120"/>
        <w:ind w:left="0"/>
        <w:contextualSpacing w:val="0"/>
        <w:jc w:val="both"/>
        <w:rPr>
          <w:rFonts w:ascii="Arial" w:hAnsi="Arial" w:cs="Arial"/>
          <w:b/>
          <w:color w:val="0070C0"/>
          <w:lang w:eastAsia="de-AT"/>
        </w:rPr>
      </w:pPr>
      <w:r>
        <w:rPr>
          <w:rFonts w:ascii="Arial" w:hAnsi="Arial" w:cs="Arial"/>
          <w:b/>
          <w:color w:val="0070C0"/>
          <w:lang w:eastAsia="de-AT"/>
        </w:rPr>
        <w:t>Wie erfolgt die EU-weite Umsetzung des Glühbirnenverbots?</w:t>
      </w:r>
    </w:p>
    <w:p w:rsidR="000C3A9A" w:rsidRDefault="000C3A9A" w:rsidP="001072F6">
      <w:pPr>
        <w:pStyle w:val="Listenabsatz"/>
        <w:spacing w:after="120"/>
        <w:ind w:left="0"/>
        <w:contextualSpacing w:val="0"/>
        <w:jc w:val="both"/>
        <w:rPr>
          <w:rFonts w:ascii="Arial" w:hAnsi="Arial" w:cs="Arial"/>
          <w:lang w:val="de-DE" w:eastAsia="de-AT"/>
        </w:rPr>
      </w:pPr>
      <w:r>
        <w:rPr>
          <w:rFonts w:ascii="Arial" w:hAnsi="Arial" w:cs="Arial"/>
          <w:lang w:val="de-DE" w:eastAsia="de-AT"/>
        </w:rPr>
        <w:t>Damit sich Handel und Konsumenten auf die schrittweise Abschaffung der Glühbirnen einstellen können, wurden mehrjährige Übergangsfristen eingerichtet.</w:t>
      </w:r>
    </w:p>
    <w:p w:rsidR="00D110CC" w:rsidRPr="001072F6" w:rsidRDefault="00D110CC" w:rsidP="001072F6">
      <w:pPr>
        <w:pStyle w:val="Listenabsatz"/>
        <w:numPr>
          <w:ilvl w:val="0"/>
          <w:numId w:val="1"/>
        </w:numPr>
        <w:spacing w:after="120"/>
        <w:ind w:left="426" w:hanging="426"/>
        <w:contextualSpacing w:val="0"/>
        <w:jc w:val="both"/>
        <w:rPr>
          <w:rFonts w:ascii="Arial" w:hAnsi="Arial" w:cs="Arial"/>
          <w:lang w:val="de-DE" w:eastAsia="de-AT"/>
        </w:rPr>
      </w:pPr>
      <w:r w:rsidRPr="001072F6">
        <w:rPr>
          <w:rFonts w:ascii="Arial" w:hAnsi="Arial" w:cs="Arial"/>
          <w:b/>
          <w:lang w:val="de-DE" w:eastAsia="de-AT"/>
        </w:rPr>
        <w:t>ab 1. September 2009</w:t>
      </w:r>
      <w:r w:rsidRPr="001072F6">
        <w:rPr>
          <w:rFonts w:ascii="Arial" w:hAnsi="Arial" w:cs="Arial"/>
          <w:lang w:val="de-DE" w:eastAsia="de-AT"/>
        </w:rPr>
        <w:t>: Verbot von klaren Glühlampen mit mindestens 100 W; bei matten Leuchtmitteln dürfen nur mehr Energiesparlampen der Energieeffizienzklasse A verwendet werden; Einsatzzweck (ob für Haushalt geeignet) muss auf der Verpackung angegeben werden;</w:t>
      </w:r>
    </w:p>
    <w:p w:rsidR="00D110CC" w:rsidRPr="001072F6" w:rsidRDefault="00D110CC" w:rsidP="001072F6">
      <w:pPr>
        <w:pStyle w:val="Listenabsatz"/>
        <w:numPr>
          <w:ilvl w:val="0"/>
          <w:numId w:val="1"/>
        </w:numPr>
        <w:spacing w:after="120"/>
        <w:ind w:left="426" w:hanging="426"/>
        <w:contextualSpacing w:val="0"/>
        <w:jc w:val="both"/>
        <w:rPr>
          <w:rFonts w:ascii="Arial" w:hAnsi="Arial" w:cs="Arial"/>
          <w:lang w:val="de-DE" w:eastAsia="de-AT"/>
        </w:rPr>
      </w:pPr>
      <w:r w:rsidRPr="001072F6">
        <w:rPr>
          <w:rFonts w:ascii="Arial" w:hAnsi="Arial" w:cs="Arial"/>
          <w:b/>
          <w:lang w:val="de-DE" w:eastAsia="de-AT"/>
        </w:rPr>
        <w:t>ab 1. September 2010</w:t>
      </w:r>
      <w:r w:rsidRPr="001072F6">
        <w:rPr>
          <w:rFonts w:ascii="Arial" w:hAnsi="Arial" w:cs="Arial"/>
          <w:lang w:val="de-DE" w:eastAsia="de-AT"/>
        </w:rPr>
        <w:t>: Verbot von klaren Glühlampen mit mindestens 75 Watt;</w:t>
      </w:r>
    </w:p>
    <w:p w:rsidR="00D110CC" w:rsidRPr="001072F6" w:rsidRDefault="00D110CC" w:rsidP="001072F6">
      <w:pPr>
        <w:pStyle w:val="Listenabsatz"/>
        <w:numPr>
          <w:ilvl w:val="0"/>
          <w:numId w:val="1"/>
        </w:numPr>
        <w:spacing w:after="120"/>
        <w:ind w:left="426" w:hanging="426"/>
        <w:contextualSpacing w:val="0"/>
        <w:jc w:val="both"/>
        <w:rPr>
          <w:rFonts w:ascii="Arial" w:hAnsi="Arial" w:cs="Arial"/>
          <w:lang w:val="de-DE" w:eastAsia="de-AT"/>
        </w:rPr>
      </w:pPr>
      <w:r w:rsidRPr="001072F6">
        <w:rPr>
          <w:rFonts w:ascii="Arial" w:hAnsi="Arial" w:cs="Arial"/>
          <w:b/>
          <w:lang w:val="de-DE" w:eastAsia="de-AT"/>
        </w:rPr>
        <w:t>ab 1. September 2011:</w:t>
      </w:r>
      <w:r w:rsidRPr="001072F6">
        <w:rPr>
          <w:rFonts w:ascii="Arial" w:hAnsi="Arial" w:cs="Arial"/>
          <w:lang w:val="de-DE" w:eastAsia="de-AT"/>
        </w:rPr>
        <w:t xml:space="preserve"> Verbot von klaren Glühlampen mit mindestens 60 Watt;</w:t>
      </w:r>
    </w:p>
    <w:p w:rsidR="00D110CC" w:rsidRPr="001072F6" w:rsidRDefault="00D110CC" w:rsidP="001072F6">
      <w:pPr>
        <w:pStyle w:val="Listenabsatz"/>
        <w:numPr>
          <w:ilvl w:val="0"/>
          <w:numId w:val="1"/>
        </w:numPr>
        <w:spacing w:after="120"/>
        <w:ind w:left="426" w:hanging="426"/>
        <w:contextualSpacing w:val="0"/>
        <w:jc w:val="both"/>
        <w:rPr>
          <w:rFonts w:ascii="Arial" w:hAnsi="Arial" w:cs="Arial"/>
          <w:lang w:val="de-DE" w:eastAsia="de-AT"/>
        </w:rPr>
      </w:pPr>
      <w:r w:rsidRPr="001072F6">
        <w:rPr>
          <w:rFonts w:ascii="Arial" w:hAnsi="Arial" w:cs="Arial"/>
          <w:b/>
          <w:lang w:val="de-DE" w:eastAsia="de-AT"/>
        </w:rPr>
        <w:t>ab 1. September 2012:</w:t>
      </w:r>
      <w:r w:rsidRPr="001072F6">
        <w:rPr>
          <w:rFonts w:ascii="Arial" w:hAnsi="Arial" w:cs="Arial"/>
          <w:lang w:val="de-DE" w:eastAsia="de-AT"/>
        </w:rPr>
        <w:t xml:space="preserve"> Verbot von klaren Glühlampen mit mindestens 25 Watt  (kommt einem Totalverbot gleich);</w:t>
      </w:r>
    </w:p>
    <w:p w:rsidR="00D110CC" w:rsidRPr="001072F6" w:rsidRDefault="00D110CC" w:rsidP="001072F6">
      <w:pPr>
        <w:pStyle w:val="Listenabsatz"/>
        <w:numPr>
          <w:ilvl w:val="0"/>
          <w:numId w:val="1"/>
        </w:numPr>
        <w:spacing w:after="120"/>
        <w:ind w:left="426" w:hanging="426"/>
        <w:contextualSpacing w:val="0"/>
        <w:jc w:val="both"/>
        <w:rPr>
          <w:rFonts w:ascii="Arial" w:hAnsi="Arial" w:cs="Arial"/>
          <w:lang w:val="de-DE" w:eastAsia="de-AT"/>
        </w:rPr>
      </w:pPr>
      <w:r w:rsidRPr="001072F6">
        <w:rPr>
          <w:rFonts w:ascii="Arial" w:hAnsi="Arial" w:cs="Arial"/>
          <w:b/>
          <w:lang w:val="de-DE" w:eastAsia="de-AT"/>
        </w:rPr>
        <w:t>ab 1. September 2013</w:t>
      </w:r>
      <w:r w:rsidRPr="001072F6">
        <w:rPr>
          <w:rFonts w:ascii="Arial" w:hAnsi="Arial" w:cs="Arial"/>
          <w:lang w:val="de-DE" w:eastAsia="de-AT"/>
        </w:rPr>
        <w:t>: Anpassung (Verschärfung) der Effizienzkriterien;</w:t>
      </w:r>
    </w:p>
    <w:p w:rsidR="00D110CC" w:rsidRPr="001072F6" w:rsidRDefault="00D110CC" w:rsidP="001072F6">
      <w:pPr>
        <w:pStyle w:val="Listenabsatz"/>
        <w:numPr>
          <w:ilvl w:val="0"/>
          <w:numId w:val="1"/>
        </w:numPr>
        <w:spacing w:after="120"/>
        <w:ind w:left="426" w:hanging="426"/>
        <w:contextualSpacing w:val="0"/>
        <w:jc w:val="both"/>
        <w:rPr>
          <w:rFonts w:ascii="Arial" w:hAnsi="Arial" w:cs="Arial"/>
          <w:lang w:val="de-DE" w:eastAsia="de-AT"/>
        </w:rPr>
      </w:pPr>
      <w:r w:rsidRPr="001072F6">
        <w:rPr>
          <w:rFonts w:ascii="Arial" w:hAnsi="Arial" w:cs="Arial"/>
          <w:b/>
          <w:lang w:val="de-DE" w:eastAsia="de-AT"/>
        </w:rPr>
        <w:t>ab 1. September 2016:</w:t>
      </w:r>
      <w:r w:rsidRPr="001072F6">
        <w:rPr>
          <w:rFonts w:ascii="Arial" w:hAnsi="Arial" w:cs="Arial"/>
          <w:lang w:val="de-DE" w:eastAsia="de-AT"/>
        </w:rPr>
        <w:t xml:space="preserve"> nur mehr Lampen ab Energieeffizienzklasse B sind erlaubt (entspricht einem Verbot der ineffizienten Halogenlampen der Klasse C, die bis dahin einen Ersatz der Glühlampen darstellen).</w:t>
      </w:r>
    </w:p>
    <w:p w:rsidR="00D110CC" w:rsidRPr="00D110CC" w:rsidRDefault="00D110CC" w:rsidP="001072F6">
      <w:pPr>
        <w:spacing w:after="120"/>
        <w:jc w:val="both"/>
        <w:rPr>
          <w:rFonts w:ascii="Arial" w:hAnsi="Arial" w:cs="Arial"/>
          <w:lang w:val="de-DE" w:eastAsia="de-AT"/>
        </w:rPr>
      </w:pPr>
    </w:p>
    <w:p w:rsidR="000C3A9A" w:rsidRDefault="000C3A9A" w:rsidP="001072F6">
      <w:pPr>
        <w:pStyle w:val="Listenabsatz"/>
        <w:spacing w:after="120"/>
        <w:ind w:left="0"/>
        <w:contextualSpacing w:val="0"/>
        <w:jc w:val="both"/>
        <w:rPr>
          <w:rFonts w:ascii="Arial" w:hAnsi="Arial" w:cs="Arial"/>
          <w:b/>
          <w:color w:val="0070C0"/>
          <w:lang w:val="de-DE" w:eastAsia="de-AT"/>
        </w:rPr>
      </w:pPr>
      <w:r>
        <w:rPr>
          <w:rFonts w:ascii="Arial" w:hAnsi="Arial" w:cs="Arial"/>
          <w:b/>
          <w:color w:val="0070C0"/>
          <w:lang w:val="de-DE" w:eastAsia="de-AT"/>
        </w:rPr>
        <w:t>Wie steht es um die oft zitierten Nebenwirkungen von Energiesparlampen?</w:t>
      </w:r>
    </w:p>
    <w:p w:rsidR="000C3A9A" w:rsidRDefault="000C3A9A" w:rsidP="001072F6">
      <w:pPr>
        <w:pStyle w:val="Listenabsatz"/>
        <w:spacing w:after="120"/>
        <w:ind w:left="0"/>
        <w:contextualSpacing w:val="0"/>
        <w:jc w:val="both"/>
        <w:rPr>
          <w:rFonts w:ascii="Arial" w:hAnsi="Arial" w:cs="Arial"/>
          <w:lang w:eastAsia="de-AT"/>
        </w:rPr>
      </w:pPr>
      <w:r>
        <w:rPr>
          <w:rFonts w:ascii="Arial" w:hAnsi="Arial" w:cs="Arial"/>
          <w:lang w:eastAsia="de-AT"/>
        </w:rPr>
        <w:t>Der „wissenschaftliche Ausschuss für neu auftretende und neu identifizierte Gesundheitsrisiken“ der Europäischen Kommission kam zum Schluss, dass die gesundheitlichen Auswirkungen von Kompaktleuchtstofflampen bei normaler Benutzung für gesunde Personen unbedenklich sind.</w:t>
      </w:r>
    </w:p>
    <w:p w:rsidR="000C3A9A" w:rsidRPr="001072F6" w:rsidRDefault="000C3A9A" w:rsidP="00A85BF4">
      <w:pPr>
        <w:pStyle w:val="Listenabsatz"/>
        <w:spacing w:after="120"/>
        <w:ind w:left="0"/>
        <w:contextualSpacing w:val="0"/>
        <w:jc w:val="both"/>
        <w:rPr>
          <w:rFonts w:ascii="Arial" w:hAnsi="Arial" w:cs="Arial"/>
          <w:lang w:eastAsia="de-AT"/>
        </w:rPr>
      </w:pPr>
      <w:r>
        <w:rPr>
          <w:rFonts w:ascii="Arial" w:hAnsi="Arial" w:cs="Arial"/>
          <w:lang w:eastAsia="de-AT"/>
        </w:rPr>
        <w:t xml:space="preserve">Zur oftmals angesprochenen Gefahr des Austretens von </w:t>
      </w:r>
      <w:r>
        <w:rPr>
          <w:rFonts w:ascii="Arial" w:hAnsi="Arial" w:cs="Arial"/>
          <w:b/>
          <w:lang w:eastAsia="de-AT"/>
        </w:rPr>
        <w:t>Quecksilber</w:t>
      </w:r>
      <w:r>
        <w:rPr>
          <w:rFonts w:ascii="Arial" w:hAnsi="Arial" w:cs="Arial"/>
          <w:lang w:eastAsia="de-AT"/>
        </w:rPr>
        <w:t xml:space="preserve"> beim Zerbrechen einer Lampe wurde festgestellt, dass nur äußerst geringe Mengen </w:t>
      </w:r>
      <w:r>
        <w:rPr>
          <w:rFonts w:ascii="Arial" w:hAnsi="Arial" w:cs="Arial"/>
          <w:lang w:eastAsia="de-AT"/>
        </w:rPr>
        <w:lastRenderedPageBreak/>
        <w:t xml:space="preserve">austreten würden: Zulässig sind derzeit maximal fünf Milligramm, ab 2013 nur noch 2,5 Milligramm, wobei einige Lampenmodelle bereits jetzt deutlich weniger als zwei Milligramm Quecksilber enthalten. Im Vergleich dazu ist in einem klassischen Quecksilber-Fieberthermometer fast die </w:t>
      </w:r>
      <w:r>
        <w:rPr>
          <w:rFonts w:ascii="Arial" w:hAnsi="Arial" w:cs="Arial"/>
          <w:b/>
          <w:lang w:eastAsia="de-AT"/>
        </w:rPr>
        <w:t>500-fache Menge</w:t>
      </w:r>
      <w:r>
        <w:rPr>
          <w:rFonts w:ascii="Arial" w:hAnsi="Arial" w:cs="Arial"/>
          <w:lang w:eastAsia="de-AT"/>
        </w:rPr>
        <w:t xml:space="preserve"> enthalten. Durch den Einsatz </w:t>
      </w:r>
      <w:r>
        <w:rPr>
          <w:rFonts w:ascii="Arial" w:hAnsi="Arial" w:cs="Arial"/>
          <w:b/>
          <w:lang w:eastAsia="de-AT"/>
        </w:rPr>
        <w:t>bruchsicherer Energiesparlampen</w:t>
      </w:r>
      <w:r>
        <w:rPr>
          <w:rFonts w:ascii="Arial" w:hAnsi="Arial" w:cs="Arial"/>
          <w:lang w:eastAsia="de-AT"/>
        </w:rPr>
        <w:t xml:space="preserve"> mit einer zusätzlichen Glas- oder Silikonhülle kann auch eine solche Belastung vermieden werden. Klassische Glühbirnen enthalten zwar an sich kein Quecksilber, setzen es aber indirekt bei Stromerzeugung in Kohlekraftwerken frei. Wegen ihres hohen Stromverbrauchs belasten Glühbirnen die Umwelt bei gleicher Lichtausbeute </w:t>
      </w:r>
      <w:r w:rsidRPr="001072F6">
        <w:rPr>
          <w:rFonts w:ascii="Arial" w:hAnsi="Arial" w:cs="Arial"/>
          <w:lang w:eastAsia="de-AT"/>
        </w:rPr>
        <w:t>mit der fast doppelten Menge an Quecksilber wie Energiesparlampen.</w:t>
      </w:r>
      <w:r w:rsidR="00A85BF4">
        <w:rPr>
          <w:rFonts w:ascii="Arial" w:hAnsi="Arial" w:cs="Arial"/>
          <w:lang w:eastAsia="de-AT"/>
        </w:rPr>
        <w:t xml:space="preserve"> </w:t>
      </w:r>
    </w:p>
    <w:p w:rsidR="00D110CC" w:rsidRPr="001072F6" w:rsidRDefault="00D110CC" w:rsidP="001072F6">
      <w:pPr>
        <w:pStyle w:val="Listenabsatz"/>
        <w:spacing w:after="120"/>
        <w:ind w:left="0"/>
        <w:contextualSpacing w:val="0"/>
        <w:jc w:val="both"/>
        <w:rPr>
          <w:rFonts w:ascii="Arial" w:hAnsi="Arial" w:cs="Arial"/>
          <w:lang w:eastAsia="de-AT"/>
        </w:rPr>
      </w:pPr>
    </w:p>
    <w:p w:rsidR="000C3A9A" w:rsidRPr="001072F6" w:rsidRDefault="000C3A9A" w:rsidP="001072F6">
      <w:pPr>
        <w:pStyle w:val="Listenabsatz"/>
        <w:spacing w:after="120"/>
        <w:ind w:left="0"/>
        <w:contextualSpacing w:val="0"/>
        <w:jc w:val="both"/>
        <w:rPr>
          <w:rFonts w:ascii="Arial" w:hAnsi="Arial" w:cs="Arial"/>
          <w:b/>
          <w:color w:val="0070C0"/>
          <w:lang w:eastAsia="de-AT"/>
        </w:rPr>
      </w:pPr>
      <w:r w:rsidRPr="001072F6">
        <w:rPr>
          <w:rFonts w:ascii="Arial" w:hAnsi="Arial" w:cs="Arial"/>
          <w:b/>
          <w:color w:val="0070C0"/>
          <w:lang w:eastAsia="de-AT"/>
        </w:rPr>
        <w:t xml:space="preserve">Was </w:t>
      </w:r>
      <w:r w:rsidR="00D110CC" w:rsidRPr="001072F6">
        <w:rPr>
          <w:rFonts w:ascii="Arial" w:hAnsi="Arial" w:cs="Arial"/>
          <w:b/>
          <w:color w:val="0070C0"/>
          <w:lang w:eastAsia="de-AT"/>
        </w:rPr>
        <w:t>kann zum</w:t>
      </w:r>
      <w:r w:rsidRPr="001072F6">
        <w:rPr>
          <w:rFonts w:ascii="Arial" w:hAnsi="Arial" w:cs="Arial"/>
          <w:b/>
          <w:color w:val="0070C0"/>
          <w:lang w:eastAsia="de-AT"/>
        </w:rPr>
        <w:t xml:space="preserve"> Vorwurf, dass neue Glühbirnen erheblich teurer wären als die alten</w:t>
      </w:r>
      <w:r w:rsidR="00D110CC" w:rsidRPr="001072F6">
        <w:rPr>
          <w:rFonts w:ascii="Arial" w:hAnsi="Arial" w:cs="Arial"/>
          <w:b/>
          <w:color w:val="0070C0"/>
          <w:lang w:eastAsia="de-AT"/>
        </w:rPr>
        <w:t>, gesagt werden</w:t>
      </w:r>
      <w:r w:rsidRPr="001072F6">
        <w:rPr>
          <w:rFonts w:ascii="Arial" w:hAnsi="Arial" w:cs="Arial"/>
          <w:b/>
          <w:color w:val="0070C0"/>
          <w:lang w:eastAsia="de-AT"/>
        </w:rPr>
        <w:t xml:space="preserve">? </w:t>
      </w:r>
    </w:p>
    <w:p w:rsidR="00D110CC" w:rsidRPr="001072F6" w:rsidRDefault="00D110CC" w:rsidP="001072F6">
      <w:pPr>
        <w:pStyle w:val="Listenabsatz"/>
        <w:spacing w:after="120"/>
        <w:ind w:left="0"/>
        <w:contextualSpacing w:val="0"/>
        <w:jc w:val="both"/>
        <w:rPr>
          <w:rFonts w:ascii="Arial" w:hAnsi="Arial" w:cs="Arial"/>
          <w:lang w:eastAsia="de-AT"/>
        </w:rPr>
      </w:pPr>
      <w:r w:rsidRPr="001072F6">
        <w:rPr>
          <w:rFonts w:ascii="Arial" w:hAnsi="Arial" w:cs="Arial"/>
          <w:lang w:eastAsia="de-AT"/>
        </w:rPr>
        <w:t xml:space="preserve">Die Kostenfrage wurde </w:t>
      </w:r>
      <w:r w:rsidR="00A85BF4">
        <w:rPr>
          <w:rFonts w:ascii="Arial" w:hAnsi="Arial" w:cs="Arial"/>
          <w:lang w:eastAsia="de-AT"/>
        </w:rPr>
        <w:t>ebenfalls</w:t>
      </w:r>
      <w:r w:rsidRPr="001072F6">
        <w:rPr>
          <w:rFonts w:ascii="Arial" w:hAnsi="Arial" w:cs="Arial"/>
          <w:lang w:eastAsia="de-AT"/>
        </w:rPr>
        <w:t xml:space="preserve"> von der Eur</w:t>
      </w:r>
      <w:r w:rsidR="000B59DD" w:rsidRPr="001072F6">
        <w:rPr>
          <w:rFonts w:ascii="Arial" w:hAnsi="Arial" w:cs="Arial"/>
          <w:lang w:eastAsia="de-AT"/>
        </w:rPr>
        <w:t xml:space="preserve">opäischen Kommission untersucht. Die von der Kommission </w:t>
      </w:r>
      <w:r w:rsidRPr="001072F6">
        <w:rPr>
          <w:rFonts w:ascii="Arial" w:hAnsi="Arial" w:cs="Arial"/>
          <w:lang w:eastAsia="de-AT"/>
        </w:rPr>
        <w:t>in Auftrag gegeben</w:t>
      </w:r>
      <w:r w:rsidR="000B59DD" w:rsidRPr="001072F6">
        <w:rPr>
          <w:rFonts w:ascii="Arial" w:hAnsi="Arial" w:cs="Arial"/>
          <w:lang w:eastAsia="de-AT"/>
        </w:rPr>
        <w:t xml:space="preserve">e Studie kommt zum Schluss, dass </w:t>
      </w:r>
      <w:r w:rsidRPr="001072F6">
        <w:rPr>
          <w:rFonts w:ascii="Arial" w:hAnsi="Arial" w:cs="Arial"/>
          <w:lang w:eastAsia="de-AT"/>
        </w:rPr>
        <w:t>Kompaktleuchtstofflampen und LED-Lampen wesentlich billiger als herkömmliche Glühlampen</w:t>
      </w:r>
      <w:r w:rsidR="000B59DD" w:rsidRPr="001072F6">
        <w:rPr>
          <w:rFonts w:ascii="Arial" w:hAnsi="Arial" w:cs="Arial"/>
          <w:lang w:eastAsia="de-AT"/>
        </w:rPr>
        <w:t xml:space="preserve"> sind</w:t>
      </w:r>
      <w:r w:rsidRPr="001072F6">
        <w:rPr>
          <w:rFonts w:ascii="Arial" w:hAnsi="Arial" w:cs="Arial"/>
          <w:lang w:eastAsia="de-AT"/>
        </w:rPr>
        <w:t>, denn sie</w:t>
      </w:r>
    </w:p>
    <w:p w:rsidR="00D110CC" w:rsidRPr="001072F6" w:rsidRDefault="00D110CC" w:rsidP="001072F6">
      <w:pPr>
        <w:pStyle w:val="Listenabsatz"/>
        <w:numPr>
          <w:ilvl w:val="0"/>
          <w:numId w:val="5"/>
        </w:numPr>
        <w:spacing w:after="120"/>
        <w:ind w:left="567" w:hanging="567"/>
        <w:contextualSpacing w:val="0"/>
        <w:jc w:val="both"/>
        <w:rPr>
          <w:rFonts w:ascii="Arial" w:hAnsi="Arial" w:cs="Arial"/>
          <w:lang w:eastAsia="de-AT"/>
        </w:rPr>
      </w:pPr>
      <w:r w:rsidRPr="001072F6">
        <w:rPr>
          <w:rFonts w:ascii="Arial" w:hAnsi="Arial" w:cs="Arial"/>
          <w:lang w:eastAsia="de-AT"/>
        </w:rPr>
        <w:t>halten länger – so lange wie 6–10 herkömmliche Glühlampen,</w:t>
      </w:r>
    </w:p>
    <w:p w:rsidR="00D110CC" w:rsidRPr="001072F6" w:rsidRDefault="00D110CC" w:rsidP="001072F6">
      <w:pPr>
        <w:pStyle w:val="Listenabsatz"/>
        <w:numPr>
          <w:ilvl w:val="0"/>
          <w:numId w:val="5"/>
        </w:numPr>
        <w:spacing w:after="120"/>
        <w:ind w:left="567" w:hanging="567"/>
        <w:contextualSpacing w:val="0"/>
        <w:jc w:val="both"/>
        <w:rPr>
          <w:rFonts w:ascii="Arial" w:hAnsi="Arial" w:cs="Arial"/>
          <w:lang w:eastAsia="de-AT"/>
        </w:rPr>
      </w:pPr>
      <w:r w:rsidRPr="001072F6">
        <w:rPr>
          <w:rFonts w:ascii="Arial" w:hAnsi="Arial" w:cs="Arial"/>
          <w:lang w:eastAsia="de-AT"/>
        </w:rPr>
        <w:t>verbrauchen weniger Strom – manche nur ein Fünftel einer herkömmlichen Glühlampe.</w:t>
      </w:r>
    </w:p>
    <w:p w:rsidR="00D110CC" w:rsidRPr="001072F6" w:rsidRDefault="00D110CC" w:rsidP="001072F6">
      <w:pPr>
        <w:pStyle w:val="Listenabsatz"/>
        <w:spacing w:after="120"/>
        <w:ind w:left="0"/>
        <w:contextualSpacing w:val="0"/>
        <w:jc w:val="both"/>
        <w:rPr>
          <w:rFonts w:ascii="Arial" w:hAnsi="Arial" w:cs="Arial"/>
          <w:lang w:eastAsia="de-AT"/>
        </w:rPr>
      </w:pPr>
      <w:r w:rsidRPr="001072F6">
        <w:rPr>
          <w:rFonts w:ascii="Arial" w:hAnsi="Arial" w:cs="Arial"/>
          <w:lang w:eastAsia="de-AT"/>
        </w:rPr>
        <w:t xml:space="preserve">Eine 23-W-Energiesparlampe, die 6 Jahre hält, wäre rund 100 Euro billiger als mehrere herkömmliche Glühlampen mit </w:t>
      </w:r>
      <w:proofErr w:type="spellStart"/>
      <w:r w:rsidRPr="001072F6">
        <w:rPr>
          <w:rFonts w:ascii="Arial" w:hAnsi="Arial" w:cs="Arial"/>
          <w:lang w:eastAsia="de-AT"/>
        </w:rPr>
        <w:t>selbem</w:t>
      </w:r>
      <w:proofErr w:type="spellEnd"/>
      <w:r w:rsidRPr="001072F6">
        <w:rPr>
          <w:rFonts w:ascii="Arial" w:hAnsi="Arial" w:cs="Arial"/>
          <w:lang w:eastAsia="de-AT"/>
        </w:rPr>
        <w:t xml:space="preserve"> Lichtstrom im selben Zeitraum (bei angenommenen Stromkosten von 0,136 €/kWh).</w:t>
      </w:r>
    </w:p>
    <w:p w:rsidR="000C3A9A" w:rsidRPr="001072F6" w:rsidRDefault="000C3A9A" w:rsidP="001072F6">
      <w:pPr>
        <w:pStyle w:val="Listenabsatz"/>
        <w:spacing w:after="120"/>
        <w:ind w:left="0"/>
        <w:contextualSpacing w:val="0"/>
        <w:jc w:val="both"/>
        <w:rPr>
          <w:rFonts w:ascii="Arial" w:hAnsi="Arial" w:cs="Arial"/>
          <w:b/>
          <w:color w:val="0070C0"/>
          <w:lang w:eastAsia="de-AT"/>
        </w:rPr>
      </w:pPr>
    </w:p>
    <w:p w:rsidR="001072F6" w:rsidRPr="001072F6" w:rsidRDefault="000C3A9A" w:rsidP="001072F6">
      <w:pPr>
        <w:pStyle w:val="Listenabsatz"/>
        <w:spacing w:after="120"/>
        <w:ind w:left="0"/>
        <w:contextualSpacing w:val="0"/>
        <w:jc w:val="both"/>
        <w:rPr>
          <w:rFonts w:ascii="Arial" w:hAnsi="Arial" w:cs="Arial"/>
          <w:b/>
          <w:color w:val="0070C0"/>
          <w:lang w:eastAsia="de-AT"/>
        </w:rPr>
      </w:pPr>
      <w:r w:rsidRPr="001072F6">
        <w:rPr>
          <w:rFonts w:ascii="Arial" w:hAnsi="Arial" w:cs="Arial"/>
          <w:b/>
          <w:color w:val="0070C0"/>
          <w:lang w:eastAsia="de-AT"/>
        </w:rPr>
        <w:t>Welche Neuerung bedeutet die LED-Technologie?</w:t>
      </w:r>
    </w:p>
    <w:p w:rsidR="000C3A9A" w:rsidRDefault="000C3A9A" w:rsidP="001072F6">
      <w:pPr>
        <w:pStyle w:val="Listenabsatz"/>
        <w:spacing w:after="120"/>
        <w:ind w:left="0"/>
        <w:contextualSpacing w:val="0"/>
        <w:jc w:val="both"/>
        <w:rPr>
          <w:rFonts w:ascii="Arial" w:hAnsi="Arial" w:cs="Arial"/>
          <w:lang w:eastAsia="de-AT"/>
        </w:rPr>
      </w:pPr>
      <w:r w:rsidRPr="001072F6">
        <w:rPr>
          <w:rFonts w:ascii="Arial" w:hAnsi="Arial" w:cs="Arial"/>
          <w:lang w:eastAsia="de-AT"/>
        </w:rPr>
        <w:t xml:space="preserve">Die Technologieentwicklung im Bereich der </w:t>
      </w:r>
      <w:r w:rsidRPr="001072F6">
        <w:rPr>
          <w:rFonts w:ascii="Arial" w:hAnsi="Arial" w:cs="Arial"/>
          <w:b/>
          <w:lang w:eastAsia="de-AT"/>
        </w:rPr>
        <w:t>LED</w:t>
      </w:r>
      <w:r w:rsidRPr="001072F6">
        <w:rPr>
          <w:rFonts w:ascii="Arial" w:hAnsi="Arial" w:cs="Arial"/>
          <w:lang w:eastAsia="de-AT"/>
        </w:rPr>
        <w:t xml:space="preserve">-Lampen („light </w:t>
      </w:r>
      <w:proofErr w:type="spellStart"/>
      <w:r w:rsidRPr="001072F6">
        <w:rPr>
          <w:rFonts w:ascii="Arial" w:hAnsi="Arial" w:cs="Arial"/>
          <w:lang w:eastAsia="de-AT"/>
        </w:rPr>
        <w:t>emitting</w:t>
      </w:r>
      <w:proofErr w:type="spellEnd"/>
      <w:r w:rsidRPr="001072F6">
        <w:rPr>
          <w:rFonts w:ascii="Arial" w:hAnsi="Arial" w:cs="Arial"/>
          <w:lang w:eastAsia="de-AT"/>
        </w:rPr>
        <w:t xml:space="preserve"> </w:t>
      </w:r>
      <w:proofErr w:type="spellStart"/>
      <w:r w:rsidRPr="001072F6">
        <w:rPr>
          <w:rFonts w:ascii="Arial" w:hAnsi="Arial" w:cs="Arial"/>
          <w:lang w:eastAsia="de-AT"/>
        </w:rPr>
        <w:t>diode</w:t>
      </w:r>
      <w:proofErr w:type="spellEnd"/>
      <w:r w:rsidRPr="001072F6">
        <w:rPr>
          <w:rFonts w:ascii="Arial" w:hAnsi="Arial" w:cs="Arial"/>
          <w:lang w:eastAsia="de-AT"/>
        </w:rPr>
        <w:t xml:space="preserve">“, Leuchtdiode) macht rasche </w:t>
      </w:r>
      <w:r w:rsidRPr="001072F6">
        <w:rPr>
          <w:rFonts w:ascii="Arial" w:hAnsi="Arial" w:cs="Arial"/>
          <w:b/>
          <w:lang w:eastAsia="de-AT"/>
        </w:rPr>
        <w:t>Fortschritte</w:t>
      </w:r>
      <w:r w:rsidRPr="001072F6">
        <w:rPr>
          <w:rFonts w:ascii="Arial" w:hAnsi="Arial" w:cs="Arial"/>
          <w:lang w:eastAsia="de-AT"/>
        </w:rPr>
        <w:t xml:space="preserve">. LED-Lampen </w:t>
      </w:r>
      <w:r w:rsidRPr="001072F6">
        <w:rPr>
          <w:rFonts w:ascii="Arial" w:hAnsi="Arial" w:cs="Arial"/>
          <w:b/>
          <w:lang w:eastAsia="de-AT"/>
        </w:rPr>
        <w:t>enthalten kein Quecksilber</w:t>
      </w:r>
      <w:r w:rsidRPr="001072F6">
        <w:rPr>
          <w:rFonts w:ascii="Arial" w:hAnsi="Arial" w:cs="Arial"/>
          <w:lang w:eastAsia="de-AT"/>
        </w:rPr>
        <w:t xml:space="preserve">. Ihre Effizienz als Lichtquelle ist gleichwertig mit der von Energiesparlampen bei gleichzeitig noch längerer Lebensdauer. LED-Lampen zur Raumbeleuchtung sind zwar relativ neu auf dem Markt, stellen aber bereits jetzt  einen geeigneten Ersatz für klare und matte Glühlampen bis 60 Watt dar, und sie </w:t>
      </w:r>
      <w:r w:rsidRPr="001072F6">
        <w:rPr>
          <w:rFonts w:ascii="Arial" w:hAnsi="Arial" w:cs="Arial"/>
          <w:b/>
          <w:lang w:eastAsia="de-AT"/>
        </w:rPr>
        <w:t>verbrauchen 80 % weniger Energie als Glühlampen</w:t>
      </w:r>
      <w:r w:rsidR="001072F6">
        <w:rPr>
          <w:rFonts w:ascii="Arial" w:hAnsi="Arial" w:cs="Arial"/>
          <w:lang w:eastAsia="de-AT"/>
        </w:rPr>
        <w:t>.</w:t>
      </w:r>
    </w:p>
    <w:p w:rsidR="001072F6" w:rsidRPr="001072F6" w:rsidRDefault="001072F6" w:rsidP="001072F6">
      <w:pPr>
        <w:pStyle w:val="Listenabsatz"/>
        <w:spacing w:after="120"/>
        <w:ind w:left="0"/>
        <w:contextualSpacing w:val="0"/>
        <w:jc w:val="both"/>
        <w:rPr>
          <w:rFonts w:ascii="Arial" w:hAnsi="Arial" w:cs="Arial"/>
          <w:lang w:val="de-DE" w:eastAsia="de-AT"/>
        </w:rPr>
      </w:pPr>
    </w:p>
    <w:p w:rsidR="000C3A9A" w:rsidRPr="001072F6" w:rsidRDefault="000C3A9A" w:rsidP="001072F6">
      <w:pPr>
        <w:spacing w:after="120"/>
        <w:jc w:val="both"/>
        <w:rPr>
          <w:rFonts w:ascii="Arial" w:hAnsi="Arial" w:cs="Arial"/>
          <w:b/>
          <w:sz w:val="24"/>
          <w:szCs w:val="24"/>
          <w:lang w:eastAsia="de-AT"/>
        </w:rPr>
      </w:pPr>
      <w:r w:rsidRPr="001072F6">
        <w:rPr>
          <w:rFonts w:ascii="Arial" w:hAnsi="Arial" w:cs="Arial"/>
          <w:b/>
          <w:color w:val="0070C0"/>
          <w:sz w:val="24"/>
          <w:szCs w:val="24"/>
          <w:lang w:eastAsia="de-AT"/>
        </w:rPr>
        <w:t>Was sind weitere Inhalte der Ökodesign-Richtlinie, welche Maßnahmen folgen noch?</w:t>
      </w:r>
    </w:p>
    <w:p w:rsidR="000C3A9A" w:rsidRPr="001072F6" w:rsidRDefault="000C3A9A" w:rsidP="001072F6">
      <w:pPr>
        <w:autoSpaceDE w:val="0"/>
        <w:autoSpaceDN w:val="0"/>
        <w:adjustRightInd w:val="0"/>
        <w:spacing w:after="120"/>
        <w:jc w:val="both"/>
        <w:rPr>
          <w:rFonts w:ascii="Arial" w:hAnsi="Arial" w:cs="Arial"/>
          <w:sz w:val="24"/>
          <w:szCs w:val="24"/>
        </w:rPr>
      </w:pPr>
      <w:r w:rsidRPr="001072F6">
        <w:rPr>
          <w:rFonts w:ascii="Arial" w:hAnsi="Arial" w:cs="Arial"/>
          <w:sz w:val="24"/>
          <w:szCs w:val="24"/>
        </w:rPr>
        <w:t xml:space="preserve">In der ersten Phase hatte die EU Kommission für 13 Produktgruppen Vorbereitungsstudien bei verschiedenen europäischen Forschungsinstituten in Auftrag gegeben. Diese dienen der EU Kommission als Basis für den Erlass von Durchführungsmaßnahmen. Mittlerweile sind weitere Vorbereitungsstudien in Auftrag gegeben worden. </w:t>
      </w:r>
    </w:p>
    <w:p w:rsidR="000C3A9A" w:rsidRPr="001072F6" w:rsidRDefault="000C3A9A" w:rsidP="001072F6">
      <w:pPr>
        <w:autoSpaceDE w:val="0"/>
        <w:autoSpaceDN w:val="0"/>
        <w:adjustRightInd w:val="0"/>
        <w:spacing w:after="120"/>
        <w:jc w:val="both"/>
        <w:rPr>
          <w:rFonts w:ascii="Arial" w:hAnsi="Arial" w:cs="Arial"/>
          <w:color w:val="000000" w:themeColor="text1"/>
          <w:sz w:val="24"/>
          <w:szCs w:val="24"/>
        </w:rPr>
      </w:pPr>
      <w:r w:rsidRPr="001072F6">
        <w:rPr>
          <w:rFonts w:ascii="Arial" w:hAnsi="Arial" w:cs="Arial"/>
          <w:sz w:val="24"/>
          <w:szCs w:val="24"/>
        </w:rPr>
        <w:t xml:space="preserve">Zum Beispiel wurden Verordnungen erlassen, die Anforderungen an den Stromverbrauch im </w:t>
      </w:r>
      <w:r w:rsidRPr="001072F6">
        <w:rPr>
          <w:rFonts w:ascii="Arial" w:hAnsi="Arial" w:cs="Arial"/>
          <w:b/>
          <w:sz w:val="24"/>
          <w:szCs w:val="24"/>
        </w:rPr>
        <w:t>Bereitschafts- und im Aus-Zustand</w:t>
      </w:r>
      <w:r w:rsidRPr="001072F6">
        <w:rPr>
          <w:rFonts w:ascii="Arial" w:hAnsi="Arial" w:cs="Arial"/>
          <w:sz w:val="24"/>
          <w:szCs w:val="24"/>
        </w:rPr>
        <w:t xml:space="preserve"> für elektrische und </w:t>
      </w:r>
      <w:r w:rsidRPr="001072F6">
        <w:rPr>
          <w:rFonts w:ascii="Arial" w:hAnsi="Arial" w:cs="Arial"/>
          <w:sz w:val="24"/>
          <w:szCs w:val="24"/>
        </w:rPr>
        <w:lastRenderedPageBreak/>
        <w:t xml:space="preserve">elektronische Haushalts- und Bürogeräte sowie für Fernsehgeräte festlegen. Spezielle Regelungsentwürfe befassen sich derzeit mit Haushaltskaffeemaschinen. Ab 2015 sollen diese Geräte nach einer festgelegten Zeitdauer automatisch in einen </w:t>
      </w:r>
      <w:r w:rsidRPr="001072F6">
        <w:rPr>
          <w:rFonts w:ascii="Arial" w:hAnsi="Arial" w:cs="Arial"/>
          <w:b/>
          <w:sz w:val="24"/>
          <w:szCs w:val="24"/>
        </w:rPr>
        <w:t>Energiesparmodus</w:t>
      </w:r>
      <w:r w:rsidRPr="001072F6">
        <w:rPr>
          <w:rFonts w:ascii="Arial" w:hAnsi="Arial" w:cs="Arial"/>
          <w:sz w:val="24"/>
          <w:szCs w:val="24"/>
        </w:rPr>
        <w:t xml:space="preserve"> schalten.</w:t>
      </w:r>
    </w:p>
    <w:p w:rsidR="000C3A9A" w:rsidRPr="001072F6" w:rsidRDefault="000C3A9A" w:rsidP="001072F6">
      <w:pPr>
        <w:spacing w:after="120"/>
        <w:jc w:val="both"/>
        <w:rPr>
          <w:rFonts w:ascii="Arial" w:hAnsi="Arial" w:cs="Arial"/>
          <w:b/>
          <w:color w:val="000000" w:themeColor="text1"/>
          <w:sz w:val="24"/>
          <w:szCs w:val="24"/>
        </w:rPr>
      </w:pPr>
      <w:r w:rsidRPr="001072F6">
        <w:rPr>
          <w:rFonts w:ascii="Arial" w:hAnsi="Arial" w:cs="Arial"/>
          <w:color w:val="000000" w:themeColor="text1"/>
          <w:sz w:val="24"/>
          <w:szCs w:val="24"/>
        </w:rPr>
        <w:t>Die laufende Überprüfung der Wirksamkeit der Ökodesign-Richtlinie umfasst die Prüfung einer möglichen Ausweitung auf andere Produktgruppen. Dem gehen in der Regel jedoch jeweils</w:t>
      </w:r>
      <w:r w:rsidRPr="001072F6">
        <w:rPr>
          <w:rFonts w:ascii="Arial" w:hAnsi="Arial" w:cs="Arial"/>
          <w:b/>
          <w:color w:val="000000" w:themeColor="text1"/>
          <w:sz w:val="24"/>
          <w:szCs w:val="24"/>
        </w:rPr>
        <w:t xml:space="preserve"> gründliche, wissenschaftliche Vorerhebungen und Studien </w:t>
      </w:r>
      <w:r w:rsidRPr="001072F6">
        <w:rPr>
          <w:rFonts w:ascii="Arial" w:hAnsi="Arial" w:cs="Arial"/>
          <w:color w:val="000000" w:themeColor="text1"/>
          <w:sz w:val="24"/>
          <w:szCs w:val="24"/>
        </w:rPr>
        <w:t>- unter entsprechender Einbindung der Mitgliedsstaaten und der betroffenen Interessensverbände - voraus. Die</w:t>
      </w:r>
      <w:r w:rsidRPr="001072F6">
        <w:rPr>
          <w:rFonts w:ascii="Arial" w:hAnsi="Arial" w:cs="Arial"/>
          <w:b/>
          <w:color w:val="000000" w:themeColor="text1"/>
          <w:sz w:val="24"/>
          <w:szCs w:val="24"/>
        </w:rPr>
        <w:t xml:space="preserve"> Entscheidung über Durchführungs</w:t>
      </w:r>
      <w:r w:rsidR="001072F6">
        <w:rPr>
          <w:rFonts w:ascii="Arial" w:hAnsi="Arial" w:cs="Arial"/>
          <w:b/>
          <w:color w:val="000000" w:themeColor="text1"/>
          <w:sz w:val="24"/>
          <w:szCs w:val="24"/>
        </w:rPr>
        <w:t>-</w:t>
      </w:r>
      <w:proofErr w:type="spellStart"/>
      <w:r w:rsidRPr="001072F6">
        <w:rPr>
          <w:rFonts w:ascii="Arial" w:hAnsi="Arial" w:cs="Arial"/>
          <w:b/>
          <w:color w:val="000000" w:themeColor="text1"/>
          <w:sz w:val="24"/>
          <w:szCs w:val="24"/>
        </w:rPr>
        <w:t>maßnahmen</w:t>
      </w:r>
      <w:proofErr w:type="spellEnd"/>
      <w:r w:rsidRPr="001072F6">
        <w:rPr>
          <w:rFonts w:ascii="Arial" w:hAnsi="Arial" w:cs="Arial"/>
          <w:b/>
          <w:color w:val="000000" w:themeColor="text1"/>
          <w:sz w:val="24"/>
          <w:szCs w:val="24"/>
        </w:rPr>
        <w:t xml:space="preserve"> erfolgt durch die Mitgliedsstaaten im Regulierungsausschuss </w:t>
      </w:r>
      <w:r w:rsidRPr="001072F6">
        <w:rPr>
          <w:rFonts w:ascii="Arial" w:hAnsi="Arial" w:cs="Arial"/>
          <w:color w:val="000000" w:themeColor="text1"/>
          <w:sz w:val="24"/>
          <w:szCs w:val="24"/>
        </w:rPr>
        <w:t xml:space="preserve">auf Vorschlag der Kommission, wobei Europäisches Parlament und Rat gegen die Durchführungsmaßnahme ein </w:t>
      </w:r>
      <w:r w:rsidRPr="001072F6">
        <w:rPr>
          <w:rFonts w:ascii="Arial" w:hAnsi="Arial" w:cs="Arial"/>
          <w:b/>
          <w:color w:val="000000" w:themeColor="text1"/>
          <w:sz w:val="24"/>
          <w:szCs w:val="24"/>
        </w:rPr>
        <w:t>Widerspruchsrecht</w:t>
      </w:r>
      <w:r w:rsidRPr="001072F6">
        <w:rPr>
          <w:rFonts w:ascii="Arial" w:hAnsi="Arial" w:cs="Arial"/>
          <w:color w:val="000000" w:themeColor="text1"/>
          <w:sz w:val="24"/>
          <w:szCs w:val="24"/>
        </w:rPr>
        <w:t xml:space="preserve"> haben.</w:t>
      </w:r>
    </w:p>
    <w:p w:rsidR="000C3A9A" w:rsidRPr="001072F6" w:rsidRDefault="000C3A9A" w:rsidP="001072F6">
      <w:pPr>
        <w:spacing w:after="120"/>
        <w:jc w:val="both"/>
        <w:rPr>
          <w:rFonts w:ascii="Arial" w:hAnsi="Arial" w:cs="Arial"/>
          <w:sz w:val="24"/>
          <w:szCs w:val="24"/>
        </w:rPr>
      </w:pPr>
    </w:p>
    <w:p w:rsidR="00403100" w:rsidRPr="001072F6" w:rsidRDefault="00403100" w:rsidP="001072F6">
      <w:pPr>
        <w:spacing w:after="120"/>
        <w:jc w:val="both"/>
        <w:rPr>
          <w:rFonts w:ascii="Arial" w:hAnsi="Arial" w:cs="Arial"/>
          <w:b/>
          <w:color w:val="0070C0"/>
          <w:sz w:val="24"/>
          <w:szCs w:val="24"/>
          <w:lang w:eastAsia="de-AT"/>
        </w:rPr>
      </w:pPr>
      <w:r w:rsidRPr="001072F6">
        <w:rPr>
          <w:rFonts w:ascii="Arial" w:hAnsi="Arial" w:cs="Arial"/>
          <w:b/>
          <w:color w:val="0070C0"/>
          <w:sz w:val="24"/>
          <w:szCs w:val="24"/>
          <w:lang w:eastAsia="de-AT"/>
        </w:rPr>
        <w:t>Warum sind derzeit spezifische Wassereinsparungs-Regelungen betreffend Wasserhähne und Brauseköpfe in Prüfung?</w:t>
      </w:r>
    </w:p>
    <w:p w:rsidR="00403100" w:rsidRPr="00403100" w:rsidRDefault="00403100" w:rsidP="001072F6">
      <w:pPr>
        <w:spacing w:after="120"/>
        <w:jc w:val="both"/>
        <w:rPr>
          <w:rFonts w:ascii="Arial" w:hAnsi="Arial" w:cs="Arial"/>
          <w:sz w:val="24"/>
          <w:szCs w:val="24"/>
        </w:rPr>
      </w:pPr>
      <w:r w:rsidRPr="001072F6">
        <w:rPr>
          <w:rFonts w:ascii="Arial" w:hAnsi="Arial" w:cs="Arial"/>
          <w:sz w:val="24"/>
          <w:szCs w:val="24"/>
        </w:rPr>
        <w:t xml:space="preserve">Die Europäische Kommission </w:t>
      </w:r>
      <w:r w:rsidR="009A18F0">
        <w:rPr>
          <w:rFonts w:ascii="Arial" w:hAnsi="Arial" w:cs="Arial"/>
          <w:sz w:val="24"/>
          <w:szCs w:val="24"/>
        </w:rPr>
        <w:t>gab</w:t>
      </w:r>
      <w:r w:rsidRPr="001072F6">
        <w:rPr>
          <w:rFonts w:ascii="Arial" w:hAnsi="Arial" w:cs="Arial"/>
          <w:sz w:val="24"/>
          <w:szCs w:val="24"/>
        </w:rPr>
        <w:t xml:space="preserve"> für die Produktgruppe der </w:t>
      </w:r>
      <w:proofErr w:type="spellStart"/>
      <w:r w:rsidR="00117DAB" w:rsidRPr="001072F6">
        <w:rPr>
          <w:rFonts w:ascii="Arial" w:hAnsi="Arial" w:cs="Arial"/>
          <w:b/>
          <w:sz w:val="24"/>
          <w:szCs w:val="24"/>
        </w:rPr>
        <w:t>water-related</w:t>
      </w:r>
      <w:proofErr w:type="spellEnd"/>
      <w:r w:rsidR="00117DAB" w:rsidRPr="001072F6">
        <w:rPr>
          <w:rFonts w:ascii="Arial" w:hAnsi="Arial" w:cs="Arial"/>
          <w:b/>
          <w:sz w:val="24"/>
          <w:szCs w:val="24"/>
        </w:rPr>
        <w:t xml:space="preserve"> </w:t>
      </w:r>
      <w:proofErr w:type="spellStart"/>
      <w:r w:rsidR="00117DAB" w:rsidRPr="001072F6">
        <w:rPr>
          <w:rFonts w:ascii="Arial" w:hAnsi="Arial" w:cs="Arial"/>
          <w:b/>
          <w:sz w:val="24"/>
          <w:szCs w:val="24"/>
        </w:rPr>
        <w:t>products</w:t>
      </w:r>
      <w:proofErr w:type="spellEnd"/>
      <w:r w:rsidR="00117DAB" w:rsidRPr="001072F6">
        <w:rPr>
          <w:rFonts w:ascii="Arial" w:hAnsi="Arial" w:cs="Arial"/>
          <w:sz w:val="24"/>
          <w:szCs w:val="24"/>
        </w:rPr>
        <w:t xml:space="preserve"> </w:t>
      </w:r>
      <w:r w:rsidR="000B59DD" w:rsidRPr="001072F6">
        <w:rPr>
          <w:rFonts w:ascii="Arial" w:hAnsi="Arial" w:cs="Arial"/>
          <w:sz w:val="24"/>
          <w:szCs w:val="24"/>
        </w:rPr>
        <w:t>(von Wasserhähnen und Duschköpfen bis Hochdruckreiniger und Pumpen)</w:t>
      </w:r>
      <w:r w:rsidRPr="001072F6">
        <w:rPr>
          <w:rFonts w:ascii="Arial" w:hAnsi="Arial" w:cs="Arial"/>
          <w:sz w:val="24"/>
          <w:szCs w:val="24"/>
        </w:rPr>
        <w:t xml:space="preserve"> eine </w:t>
      </w:r>
      <w:r w:rsidRPr="001072F6">
        <w:rPr>
          <w:rFonts w:ascii="Arial" w:hAnsi="Arial" w:cs="Arial"/>
          <w:b/>
          <w:sz w:val="24"/>
          <w:szCs w:val="24"/>
        </w:rPr>
        <w:t>vorbereitende Studie</w:t>
      </w:r>
      <w:r w:rsidRPr="001072F6">
        <w:rPr>
          <w:rFonts w:ascii="Arial" w:hAnsi="Arial" w:cs="Arial"/>
          <w:sz w:val="24"/>
          <w:szCs w:val="24"/>
        </w:rPr>
        <w:t xml:space="preserve"> in Auftrag. Ein Schwerpunkt dieser europaweit durchgeführten Untersuchung </w:t>
      </w:r>
      <w:r w:rsidR="009A18F0">
        <w:rPr>
          <w:rFonts w:ascii="Arial" w:hAnsi="Arial" w:cs="Arial"/>
          <w:sz w:val="24"/>
          <w:szCs w:val="24"/>
        </w:rPr>
        <w:t>lag</w:t>
      </w:r>
      <w:r w:rsidRPr="001072F6">
        <w:rPr>
          <w:rFonts w:ascii="Arial" w:hAnsi="Arial" w:cs="Arial"/>
          <w:sz w:val="24"/>
          <w:szCs w:val="24"/>
        </w:rPr>
        <w:t xml:space="preserve"> dabei auf dem möglichen </w:t>
      </w:r>
      <w:r w:rsidRPr="001072F6">
        <w:rPr>
          <w:rFonts w:ascii="Arial" w:hAnsi="Arial" w:cs="Arial"/>
          <w:b/>
          <w:sz w:val="24"/>
          <w:szCs w:val="24"/>
        </w:rPr>
        <w:t>Energieeinsparungspotential</w:t>
      </w:r>
      <w:r w:rsidRPr="001072F6">
        <w:rPr>
          <w:rFonts w:ascii="Arial" w:hAnsi="Arial" w:cs="Arial"/>
          <w:sz w:val="24"/>
          <w:szCs w:val="24"/>
        </w:rPr>
        <w:t xml:space="preserve">. Für den gesamten EU-Raum wurde ein Einsparungspotential dieser Produktgruppe von 885 </w:t>
      </w:r>
      <w:r w:rsidR="000B59DD" w:rsidRPr="001072F6">
        <w:rPr>
          <w:rFonts w:ascii="Arial" w:hAnsi="Arial" w:cs="Arial"/>
          <w:sz w:val="24"/>
          <w:szCs w:val="24"/>
        </w:rPr>
        <w:t>Petajoule</w:t>
      </w:r>
      <w:r w:rsidRPr="001072F6">
        <w:rPr>
          <w:rFonts w:ascii="Arial" w:hAnsi="Arial" w:cs="Arial"/>
          <w:sz w:val="24"/>
          <w:szCs w:val="24"/>
        </w:rPr>
        <w:t>/Jahr bis 2030, bezogen auf den heutigen Verbrauch errechnet.</w:t>
      </w:r>
      <w:r w:rsidR="000B59DD" w:rsidRPr="001072F6">
        <w:rPr>
          <w:rFonts w:ascii="Arial" w:hAnsi="Arial" w:cs="Arial"/>
          <w:sz w:val="24"/>
          <w:szCs w:val="24"/>
        </w:rPr>
        <w:t xml:space="preserve"> Das ist etwas weniger als der jährliche Energieverbrauch Österreichs.</w:t>
      </w:r>
    </w:p>
    <w:sectPr w:rsidR="00403100" w:rsidRPr="00403100" w:rsidSect="001072F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C5" w:rsidRDefault="007D70C5" w:rsidP="000C3A9A">
      <w:pPr>
        <w:spacing w:after="0"/>
      </w:pPr>
      <w:r>
        <w:separator/>
      </w:r>
    </w:p>
  </w:endnote>
  <w:endnote w:type="continuationSeparator" w:id="0">
    <w:p w:rsidR="007D70C5" w:rsidRDefault="007D70C5" w:rsidP="000C3A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A5F" w:rsidRDefault="00645A5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A5F" w:rsidRDefault="00645A5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A5F" w:rsidRDefault="00645A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C5" w:rsidRDefault="007D70C5" w:rsidP="000C3A9A">
      <w:pPr>
        <w:spacing w:after="0"/>
      </w:pPr>
      <w:r>
        <w:separator/>
      </w:r>
    </w:p>
  </w:footnote>
  <w:footnote w:type="continuationSeparator" w:id="0">
    <w:p w:rsidR="007D70C5" w:rsidRDefault="007D70C5" w:rsidP="000C3A9A">
      <w:pPr>
        <w:spacing w:after="0"/>
      </w:pPr>
      <w:r>
        <w:continuationSeparator/>
      </w:r>
    </w:p>
  </w:footnote>
  <w:footnote w:id="1">
    <w:p w:rsidR="00B93515" w:rsidRDefault="00B93515" w:rsidP="000C3A9A">
      <w:pPr>
        <w:pStyle w:val="Funotentext"/>
        <w:rPr>
          <w:lang w:val="de-DE"/>
        </w:rPr>
      </w:pPr>
      <w:r>
        <w:rPr>
          <w:rStyle w:val="Funotenzeichen"/>
          <w:rFonts w:eastAsiaTheme="minorHAnsi"/>
        </w:rPr>
        <w:footnoteRef/>
      </w:r>
      <w:r>
        <w:t xml:space="preserve"> </w:t>
      </w:r>
      <w:r>
        <w:rPr>
          <w:lang w:val="de-DE"/>
        </w:rPr>
        <w:t>RL 2009/125/EG, die die Richtlinie 2005/32/EG vom 6. Juli 2005 ersetzt.</w:t>
      </w:r>
    </w:p>
    <w:p w:rsidR="00B93515" w:rsidRDefault="00B93515" w:rsidP="000C3A9A">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A5F" w:rsidRDefault="00645A5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515" w:rsidRPr="00E60B97" w:rsidRDefault="00B93515" w:rsidP="00E74B40">
    <w:pPr>
      <w:tabs>
        <w:tab w:val="left" w:pos="8070"/>
      </w:tabs>
      <w:autoSpaceDE w:val="0"/>
      <w:autoSpaceDN w:val="0"/>
      <w:adjustRightInd w:val="0"/>
      <w:spacing w:after="120"/>
      <w:rPr>
        <w:rFonts w:ascii="Arial" w:hAnsi="Arial" w:cs="Arial"/>
        <w:b/>
        <w:bCs/>
        <w:i/>
        <w:iCs/>
        <w:color w:val="17365D" w:themeColor="text2" w:themeShade="BF"/>
        <w:sz w:val="20"/>
        <w:szCs w:val="24"/>
        <w:lang w:eastAsia="zh-TW"/>
      </w:rPr>
    </w:pPr>
    <w:r w:rsidRPr="00E60B97">
      <w:rPr>
        <w:noProof/>
        <w:color w:val="000000"/>
        <w:sz w:val="16"/>
        <w:szCs w:val="20"/>
        <w:lang w:eastAsia="de-AT"/>
      </w:rPr>
      <w:drawing>
        <wp:anchor distT="0" distB="0" distL="114300" distR="114300" simplePos="0" relativeHeight="251659264" behindDoc="0" locked="0" layoutInCell="1" allowOverlap="1" wp14:anchorId="6235DE9E" wp14:editId="47AA50E7">
          <wp:simplePos x="0" y="0"/>
          <wp:positionH relativeFrom="column">
            <wp:posOffset>4034211</wp:posOffset>
          </wp:positionH>
          <wp:positionV relativeFrom="paragraph">
            <wp:posOffset>-76200</wp:posOffset>
          </wp:positionV>
          <wp:extent cx="2019600" cy="648000"/>
          <wp:effectExtent l="0" t="0" r="0" b="0"/>
          <wp:wrapNone/>
          <wp:docPr id="1" name="Grafik 1" descr="Beschreibung: Beschreibung: Beschreibung: Beschreibung: Beschreibung: Beschreibung: cid:image001.jpg@01CCF872.BB9D9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Beschreibung: Beschreibung: Beschreibung: cid:image001.jpg@01CCF872.BB9D9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6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A5F">
      <w:rPr>
        <w:rFonts w:ascii="Arial" w:hAnsi="Arial" w:cs="Arial"/>
        <w:b/>
        <w:bCs/>
        <w:i/>
        <w:iCs/>
        <w:color w:val="17365D" w:themeColor="text2" w:themeShade="BF"/>
        <w:sz w:val="20"/>
        <w:szCs w:val="24"/>
        <w:lang w:eastAsia="zh-TW"/>
      </w:rPr>
      <w:t xml:space="preserve">Ein Service des </w:t>
    </w:r>
    <w:r w:rsidR="00645A5F">
      <w:rPr>
        <w:rFonts w:ascii="Arial" w:hAnsi="Arial" w:cs="Arial"/>
        <w:b/>
        <w:bCs/>
        <w:i/>
        <w:iCs/>
        <w:color w:val="17365D" w:themeColor="text2" w:themeShade="BF"/>
        <w:sz w:val="20"/>
        <w:szCs w:val="24"/>
        <w:lang w:eastAsia="zh-TW"/>
      </w:rPr>
      <w:t>BMEI</w:t>
    </w:r>
    <w:bookmarkStart w:id="0" w:name="_GoBack"/>
    <w:bookmarkEnd w:id="0"/>
    <w:r w:rsidRPr="00E60B97">
      <w:rPr>
        <w:rFonts w:ascii="Arial" w:hAnsi="Arial" w:cs="Arial"/>
        <w:b/>
        <w:bCs/>
        <w:i/>
        <w:iCs/>
        <w:color w:val="17365D" w:themeColor="text2" w:themeShade="BF"/>
        <w:sz w:val="20"/>
        <w:szCs w:val="24"/>
        <w:lang w:eastAsia="zh-TW"/>
      </w:rPr>
      <w:t>A für EU-</w:t>
    </w:r>
    <w:proofErr w:type="spellStart"/>
    <w:r w:rsidRPr="00E60B97">
      <w:rPr>
        <w:rFonts w:ascii="Arial" w:hAnsi="Arial" w:cs="Arial"/>
        <w:b/>
        <w:bCs/>
        <w:i/>
        <w:iCs/>
        <w:color w:val="17365D" w:themeColor="text2" w:themeShade="BF"/>
        <w:sz w:val="20"/>
        <w:szCs w:val="24"/>
        <w:lang w:eastAsia="zh-TW"/>
      </w:rPr>
      <w:t>GemeinderätInnen</w:t>
    </w:r>
    <w:proofErr w:type="spellEnd"/>
    <w:r w:rsidRPr="00E60B97">
      <w:rPr>
        <w:rFonts w:ascii="Arial" w:hAnsi="Arial" w:cs="Arial"/>
        <w:b/>
        <w:bCs/>
        <w:i/>
        <w:iCs/>
        <w:color w:val="17365D" w:themeColor="text2" w:themeShade="BF"/>
        <w:sz w:val="20"/>
        <w:szCs w:val="24"/>
        <w:lang w:eastAsia="zh-TW"/>
      </w:rPr>
      <w:tab/>
    </w:r>
  </w:p>
  <w:p w:rsidR="00B93515" w:rsidRDefault="00B93515" w:rsidP="00E74B40">
    <w:pPr>
      <w:tabs>
        <w:tab w:val="left" w:pos="8070"/>
      </w:tabs>
      <w:autoSpaceDE w:val="0"/>
      <w:autoSpaceDN w:val="0"/>
      <w:adjustRightInd w:val="0"/>
      <w:spacing w:after="120"/>
      <w:rPr>
        <w:noProof/>
        <w:color w:val="000000"/>
        <w:sz w:val="18"/>
        <w:szCs w:val="20"/>
        <w:lang w:eastAsia="de-AT"/>
      </w:rPr>
    </w:pPr>
    <w:r>
      <w:rPr>
        <w:rFonts w:ascii="Arial" w:hAnsi="Arial" w:cs="Arial"/>
        <w:b/>
        <w:bCs/>
        <w:i/>
        <w:iCs/>
        <w:color w:val="17365D" w:themeColor="text2" w:themeShade="BF"/>
        <w:sz w:val="20"/>
        <w:szCs w:val="24"/>
        <w:lang w:eastAsia="zh-TW"/>
      </w:rPr>
      <w:t xml:space="preserve">März </w:t>
    </w:r>
    <w:r w:rsidRPr="00E60B97">
      <w:rPr>
        <w:rFonts w:ascii="Arial" w:hAnsi="Arial" w:cs="Arial"/>
        <w:b/>
        <w:bCs/>
        <w:i/>
        <w:iCs/>
        <w:color w:val="17365D" w:themeColor="text2" w:themeShade="BF"/>
        <w:sz w:val="20"/>
        <w:szCs w:val="24"/>
        <w:lang w:eastAsia="zh-TW"/>
      </w:rPr>
      <w:t>201</w:t>
    </w:r>
    <w:r>
      <w:rPr>
        <w:rFonts w:ascii="Arial" w:hAnsi="Arial" w:cs="Arial"/>
        <w:b/>
        <w:bCs/>
        <w:i/>
        <w:iCs/>
        <w:color w:val="17365D" w:themeColor="text2" w:themeShade="BF"/>
        <w:sz w:val="20"/>
        <w:szCs w:val="24"/>
        <w:lang w:eastAsia="zh-TW"/>
      </w:rPr>
      <w:t>4</w:t>
    </w:r>
    <w:r>
      <w:rPr>
        <w:noProof/>
        <w:color w:val="000000"/>
        <w:sz w:val="18"/>
        <w:szCs w:val="20"/>
        <w:lang w:eastAsia="de-AT"/>
      </w:rPr>
      <w:tab/>
    </w:r>
  </w:p>
  <w:p w:rsidR="00B93515" w:rsidRPr="00E830EE" w:rsidRDefault="00B93515" w:rsidP="00E74B40">
    <w:pPr>
      <w:tabs>
        <w:tab w:val="left" w:pos="8070"/>
      </w:tabs>
      <w:autoSpaceDE w:val="0"/>
      <w:autoSpaceDN w:val="0"/>
      <w:adjustRightInd w:val="0"/>
      <w:spacing w:after="120"/>
      <w:rPr>
        <w:sz w:val="20"/>
      </w:rPr>
    </w:pPr>
  </w:p>
  <w:p w:rsidR="00B93515" w:rsidRPr="00E74B40" w:rsidRDefault="00B93515" w:rsidP="00E74B4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A5F" w:rsidRDefault="00645A5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0C88"/>
    <w:multiLevelType w:val="hybridMultilevel"/>
    <w:tmpl w:val="FD2C27B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43F83267"/>
    <w:multiLevelType w:val="multilevel"/>
    <w:tmpl w:val="933CF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7430BEA"/>
    <w:multiLevelType w:val="hybridMultilevel"/>
    <w:tmpl w:val="2DFEF89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nsid w:val="4CA760B6"/>
    <w:multiLevelType w:val="hybridMultilevel"/>
    <w:tmpl w:val="BF28F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9A"/>
    <w:rsid w:val="00025654"/>
    <w:rsid w:val="00034CAB"/>
    <w:rsid w:val="000A4A54"/>
    <w:rsid w:val="000B59DD"/>
    <w:rsid w:val="000C3A9A"/>
    <w:rsid w:val="001072F6"/>
    <w:rsid w:val="00117DAB"/>
    <w:rsid w:val="002C1FD4"/>
    <w:rsid w:val="00403100"/>
    <w:rsid w:val="00411240"/>
    <w:rsid w:val="004557D8"/>
    <w:rsid w:val="00550E8A"/>
    <w:rsid w:val="00645A5F"/>
    <w:rsid w:val="006C1B36"/>
    <w:rsid w:val="0077477E"/>
    <w:rsid w:val="007D70C5"/>
    <w:rsid w:val="009A18F0"/>
    <w:rsid w:val="00A85BF4"/>
    <w:rsid w:val="00B073F5"/>
    <w:rsid w:val="00B93515"/>
    <w:rsid w:val="00C3445C"/>
    <w:rsid w:val="00D110CC"/>
    <w:rsid w:val="00D23807"/>
    <w:rsid w:val="00E74B40"/>
    <w:rsid w:val="00F14A95"/>
    <w:rsid w:val="00FE3F2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3A9A"/>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0C3A9A"/>
    <w:pPr>
      <w:spacing w:after="0"/>
    </w:pPr>
    <w:rPr>
      <w:rFonts w:ascii="Tahoma" w:eastAsia="Times New Roman" w:hAnsi="Tahoma" w:cs="Times New Roman"/>
      <w:sz w:val="20"/>
      <w:lang w:eastAsia="de-DE"/>
    </w:rPr>
  </w:style>
  <w:style w:type="character" w:customStyle="1" w:styleId="FunotentextZchn">
    <w:name w:val="Fußnotentext Zchn"/>
    <w:basedOn w:val="Absatz-Standardschriftart"/>
    <w:link w:val="Funotentext"/>
    <w:uiPriority w:val="99"/>
    <w:semiHidden/>
    <w:rsid w:val="000C3A9A"/>
    <w:rPr>
      <w:rFonts w:ascii="Tahoma" w:eastAsia="Times New Roman" w:hAnsi="Tahoma" w:cs="Times New Roman"/>
      <w:sz w:val="20"/>
      <w:lang w:eastAsia="de-DE"/>
    </w:rPr>
  </w:style>
  <w:style w:type="paragraph" w:styleId="Listenabsatz">
    <w:name w:val="List Paragraph"/>
    <w:basedOn w:val="Standard"/>
    <w:uiPriority w:val="34"/>
    <w:qFormat/>
    <w:rsid w:val="000C3A9A"/>
    <w:pPr>
      <w:spacing w:after="0"/>
      <w:ind w:left="720"/>
      <w:contextualSpacing/>
    </w:pPr>
    <w:rPr>
      <w:rFonts w:ascii="Times New Roman" w:eastAsia="SimSun" w:hAnsi="Times New Roman" w:cs="Times New Roman"/>
      <w:sz w:val="24"/>
      <w:szCs w:val="24"/>
      <w:lang w:eastAsia="zh-CN"/>
    </w:rPr>
  </w:style>
  <w:style w:type="character" w:styleId="Funotenzeichen">
    <w:name w:val="footnote reference"/>
    <w:basedOn w:val="Absatz-Standardschriftart"/>
    <w:uiPriority w:val="99"/>
    <w:semiHidden/>
    <w:unhideWhenUsed/>
    <w:rsid w:val="000C3A9A"/>
    <w:rPr>
      <w:rFonts w:ascii="Times New Roman" w:hAnsi="Times New Roman" w:cs="Times New Roman" w:hint="default"/>
      <w:position w:val="6"/>
      <w:sz w:val="20"/>
      <w:szCs w:val="20"/>
      <w:vertAlign w:val="superscript"/>
    </w:rPr>
  </w:style>
  <w:style w:type="paragraph" w:styleId="Sprechblasentext">
    <w:name w:val="Balloon Text"/>
    <w:basedOn w:val="Standard"/>
    <w:link w:val="SprechblasentextZchn"/>
    <w:uiPriority w:val="99"/>
    <w:semiHidden/>
    <w:unhideWhenUsed/>
    <w:rsid w:val="00D110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10CC"/>
    <w:rPr>
      <w:rFonts w:ascii="Tahoma" w:hAnsi="Tahoma" w:cs="Tahoma"/>
      <w:sz w:val="16"/>
      <w:szCs w:val="16"/>
    </w:rPr>
  </w:style>
  <w:style w:type="paragraph" w:styleId="Kopfzeile">
    <w:name w:val="header"/>
    <w:basedOn w:val="Standard"/>
    <w:link w:val="KopfzeileZchn"/>
    <w:uiPriority w:val="99"/>
    <w:unhideWhenUsed/>
    <w:rsid w:val="00E74B40"/>
    <w:pPr>
      <w:tabs>
        <w:tab w:val="center" w:pos="4536"/>
        <w:tab w:val="right" w:pos="9072"/>
      </w:tabs>
      <w:spacing w:after="0"/>
    </w:pPr>
  </w:style>
  <w:style w:type="character" w:customStyle="1" w:styleId="KopfzeileZchn">
    <w:name w:val="Kopfzeile Zchn"/>
    <w:basedOn w:val="Absatz-Standardschriftart"/>
    <w:link w:val="Kopfzeile"/>
    <w:uiPriority w:val="99"/>
    <w:rsid w:val="00E74B40"/>
  </w:style>
  <w:style w:type="paragraph" w:styleId="Fuzeile">
    <w:name w:val="footer"/>
    <w:basedOn w:val="Standard"/>
    <w:link w:val="FuzeileZchn"/>
    <w:uiPriority w:val="99"/>
    <w:unhideWhenUsed/>
    <w:rsid w:val="00E74B40"/>
    <w:pPr>
      <w:tabs>
        <w:tab w:val="center" w:pos="4536"/>
        <w:tab w:val="right" w:pos="9072"/>
      </w:tabs>
      <w:spacing w:after="0"/>
    </w:pPr>
  </w:style>
  <w:style w:type="character" w:customStyle="1" w:styleId="FuzeileZchn">
    <w:name w:val="Fußzeile Zchn"/>
    <w:basedOn w:val="Absatz-Standardschriftart"/>
    <w:link w:val="Fuzeile"/>
    <w:uiPriority w:val="99"/>
    <w:rsid w:val="00E74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3A9A"/>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0C3A9A"/>
    <w:pPr>
      <w:spacing w:after="0"/>
    </w:pPr>
    <w:rPr>
      <w:rFonts w:ascii="Tahoma" w:eastAsia="Times New Roman" w:hAnsi="Tahoma" w:cs="Times New Roman"/>
      <w:sz w:val="20"/>
      <w:lang w:eastAsia="de-DE"/>
    </w:rPr>
  </w:style>
  <w:style w:type="character" w:customStyle="1" w:styleId="FunotentextZchn">
    <w:name w:val="Fußnotentext Zchn"/>
    <w:basedOn w:val="Absatz-Standardschriftart"/>
    <w:link w:val="Funotentext"/>
    <w:uiPriority w:val="99"/>
    <w:semiHidden/>
    <w:rsid w:val="000C3A9A"/>
    <w:rPr>
      <w:rFonts w:ascii="Tahoma" w:eastAsia="Times New Roman" w:hAnsi="Tahoma" w:cs="Times New Roman"/>
      <w:sz w:val="20"/>
      <w:lang w:eastAsia="de-DE"/>
    </w:rPr>
  </w:style>
  <w:style w:type="paragraph" w:styleId="Listenabsatz">
    <w:name w:val="List Paragraph"/>
    <w:basedOn w:val="Standard"/>
    <w:uiPriority w:val="34"/>
    <w:qFormat/>
    <w:rsid w:val="000C3A9A"/>
    <w:pPr>
      <w:spacing w:after="0"/>
      <w:ind w:left="720"/>
      <w:contextualSpacing/>
    </w:pPr>
    <w:rPr>
      <w:rFonts w:ascii="Times New Roman" w:eastAsia="SimSun" w:hAnsi="Times New Roman" w:cs="Times New Roman"/>
      <w:sz w:val="24"/>
      <w:szCs w:val="24"/>
      <w:lang w:eastAsia="zh-CN"/>
    </w:rPr>
  </w:style>
  <w:style w:type="character" w:styleId="Funotenzeichen">
    <w:name w:val="footnote reference"/>
    <w:basedOn w:val="Absatz-Standardschriftart"/>
    <w:uiPriority w:val="99"/>
    <w:semiHidden/>
    <w:unhideWhenUsed/>
    <w:rsid w:val="000C3A9A"/>
    <w:rPr>
      <w:rFonts w:ascii="Times New Roman" w:hAnsi="Times New Roman" w:cs="Times New Roman" w:hint="default"/>
      <w:position w:val="6"/>
      <w:sz w:val="20"/>
      <w:szCs w:val="20"/>
      <w:vertAlign w:val="superscript"/>
    </w:rPr>
  </w:style>
  <w:style w:type="paragraph" w:styleId="Sprechblasentext">
    <w:name w:val="Balloon Text"/>
    <w:basedOn w:val="Standard"/>
    <w:link w:val="SprechblasentextZchn"/>
    <w:uiPriority w:val="99"/>
    <w:semiHidden/>
    <w:unhideWhenUsed/>
    <w:rsid w:val="00D110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10CC"/>
    <w:rPr>
      <w:rFonts w:ascii="Tahoma" w:hAnsi="Tahoma" w:cs="Tahoma"/>
      <w:sz w:val="16"/>
      <w:szCs w:val="16"/>
    </w:rPr>
  </w:style>
  <w:style w:type="paragraph" w:styleId="Kopfzeile">
    <w:name w:val="header"/>
    <w:basedOn w:val="Standard"/>
    <w:link w:val="KopfzeileZchn"/>
    <w:uiPriority w:val="99"/>
    <w:unhideWhenUsed/>
    <w:rsid w:val="00E74B40"/>
    <w:pPr>
      <w:tabs>
        <w:tab w:val="center" w:pos="4536"/>
        <w:tab w:val="right" w:pos="9072"/>
      </w:tabs>
      <w:spacing w:after="0"/>
    </w:pPr>
  </w:style>
  <w:style w:type="character" w:customStyle="1" w:styleId="KopfzeileZchn">
    <w:name w:val="Kopfzeile Zchn"/>
    <w:basedOn w:val="Absatz-Standardschriftart"/>
    <w:link w:val="Kopfzeile"/>
    <w:uiPriority w:val="99"/>
    <w:rsid w:val="00E74B40"/>
  </w:style>
  <w:style w:type="paragraph" w:styleId="Fuzeile">
    <w:name w:val="footer"/>
    <w:basedOn w:val="Standard"/>
    <w:link w:val="FuzeileZchn"/>
    <w:uiPriority w:val="99"/>
    <w:unhideWhenUsed/>
    <w:rsid w:val="00E74B40"/>
    <w:pPr>
      <w:tabs>
        <w:tab w:val="center" w:pos="4536"/>
        <w:tab w:val="right" w:pos="9072"/>
      </w:tabs>
      <w:spacing w:after="0"/>
    </w:pPr>
  </w:style>
  <w:style w:type="character" w:customStyle="1" w:styleId="FuzeileZchn">
    <w:name w:val="Fußzeile Zchn"/>
    <w:basedOn w:val="Absatz-Standardschriftart"/>
    <w:link w:val="Fuzeile"/>
    <w:uiPriority w:val="99"/>
    <w:rsid w:val="00E7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610">
      <w:bodyDiv w:val="1"/>
      <w:marLeft w:val="0"/>
      <w:marRight w:val="0"/>
      <w:marTop w:val="0"/>
      <w:marBottom w:val="0"/>
      <w:divBdr>
        <w:top w:val="none" w:sz="0" w:space="0" w:color="auto"/>
        <w:left w:val="none" w:sz="0" w:space="0" w:color="auto"/>
        <w:bottom w:val="none" w:sz="0" w:space="0" w:color="auto"/>
        <w:right w:val="none" w:sz="0" w:space="0" w:color="auto"/>
      </w:divBdr>
    </w:div>
    <w:div w:id="691414245">
      <w:bodyDiv w:val="1"/>
      <w:marLeft w:val="0"/>
      <w:marRight w:val="0"/>
      <w:marTop w:val="0"/>
      <w:marBottom w:val="0"/>
      <w:divBdr>
        <w:top w:val="none" w:sz="0" w:space="0" w:color="auto"/>
        <w:left w:val="none" w:sz="0" w:space="0" w:color="auto"/>
        <w:bottom w:val="none" w:sz="0" w:space="0" w:color="auto"/>
        <w:right w:val="none" w:sz="0" w:space="0" w:color="auto"/>
      </w:divBdr>
    </w:div>
    <w:div w:id="20508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CDF23C.B1D02460"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II.6. EU-Gemeinderäteinfo Ökodesign-RL aktualisiert"/>
    <f:field ref="objsubject" par="" edit="true" text=""/>
    <f:field ref="objcreatedby" par="" text="Griesebner, Roswitha"/>
    <f:field ref="objcreatedat" par="" text="28.03.2014 15:40:51"/>
    <f:field ref="objchangedby" par="" text="Weinmann, Rupert, Mag."/>
    <f:field ref="objmodifiedat" par="" text="04.04.2014 17:20:27"/>
    <f:field ref="doc_FSCFOLIO_1_1001_FieldDocumentNumber" par="" text=""/>
    <f:field ref="doc_FSCFOLIO_1_1001_FieldSubject" par="" edit="true" text=""/>
    <f:field ref="FSCFOLIO_1_1001_FieldCurrentUser" par="" text="Gerrit Seidl, MA"/>
    <f:field ref="CCAPRECONFIG_15_1001_Objektname" par="" edit="true" text="VII.6. EU-Gemeinderäteinfo Ökodesign-RL aktualisiert"/>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37D75A75.dotm</Template>
  <TotalTime>0</TotalTime>
  <Pages>1</Pages>
  <Words>1267</Words>
  <Characters>7983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Aussenministerium</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wolfgang.renezeder</dc:creator>
  <cp:keywords/>
  <dc:description/>
  <cp:lastModifiedBy>rupert.weinmann</cp:lastModifiedBy>
  <cp:revision>4</cp:revision>
  <cp:lastPrinted>2013-03-21T15:15:00Z</cp:lastPrinted>
  <dcterms:created xsi:type="dcterms:W3CDTF">2014-03-28T13:27:00Z</dcterms:created>
  <dcterms:modified xsi:type="dcterms:W3CDTF">2014-04-04T15:19:00Z</dcterms:modified>
</cp:coreProperties>
</file>

<file path=docProps/custom.xml><?xml version="1.0" encoding="utf-8"?>
<Properties xmlns="http://schemas.openxmlformats.org/officeDocument/2006/custom-properties" xmlns:vt="http://schemas.openxmlformats.org/officeDocument/2006/docPropsVTypes">
  <property name="FSC#EIBPRECONFIG@1.1001:EIBInternalApprovedAt" pid="2" fmtid="{D5CDD505-2E9C-101B-9397-08002B2CF9AE}">
    <vt:lpwstr/>
  </property>
  <property name="FSC#EIBPRECONFIG@1.1001:EIBInternalApprovedBy" pid="3" fmtid="{D5CDD505-2E9C-101B-9397-08002B2CF9AE}">
    <vt:lpwstr/>
  </property>
  <property name="FSC#EIBPRECONFIG@1.1001:EIBInternalApprovedByPostTitle" pid="4" fmtid="{D5CDD505-2E9C-101B-9397-08002B2CF9AE}">
    <vt:lpwstr/>
  </property>
  <property name="FSC#EIBPRECONFIG@1.1001:EIBSettlementApprovedBy" pid="5" fmtid="{D5CDD505-2E9C-101B-9397-08002B2CF9AE}">
    <vt:lpwstr/>
  </property>
  <property name="FSC#EIBPRECONFIG@1.1001:EIBSettlementApprovedByPostTitle" pid="6" fmtid="{D5CDD505-2E9C-101B-9397-08002B2CF9AE}">
    <vt:lpwstr/>
  </property>
  <property name="FSC#EIBPRECONFIG@1.1001:EIBApprovedAt" pid="7" fmtid="{D5CDD505-2E9C-101B-9397-08002B2CF9AE}">
    <vt:lpwstr/>
  </property>
  <property name="FSC#EIBPRECONFIG@1.1001:EIBApprovedBy" pid="8" fmtid="{D5CDD505-2E9C-101B-9397-08002B2CF9AE}">
    <vt:lpwstr/>
  </property>
  <property name="FSC#EIBPRECONFIG@1.1001:EIBApprovedBySubst" pid="9" fmtid="{D5CDD505-2E9C-101B-9397-08002B2CF9AE}">
    <vt:lpwstr/>
  </property>
  <property name="FSC#EIBPRECONFIG@1.1001:EIBApprovedByTitle" pid="10" fmtid="{D5CDD505-2E9C-101B-9397-08002B2CF9AE}">
    <vt:lpwstr/>
  </property>
  <property name="FSC#EIBPRECONFIG@1.1001:EIBApprovedByPostTitle" pid="11" fmtid="{D5CDD505-2E9C-101B-9397-08002B2CF9AE}">
    <vt:lpwstr/>
  </property>
  <property name="FSC#EIBPRECONFIG@1.1001:EIBDepartment" pid="12" fmtid="{D5CDD505-2E9C-101B-9397-08002B2CF9AE}">
    <vt:lpwstr>BMEIA - III (Sektion)</vt:lpwstr>
  </property>
  <property name="FSC#EIBPRECONFIG@1.1001:EIBDispatchedBy" pid="13" fmtid="{D5CDD505-2E9C-101B-9397-08002B2CF9AE}">
    <vt:lpwstr/>
  </property>
  <property name="FSC#EIBPRECONFIG@1.1001:EIBDispatchedByPostTitle" pid="14" fmtid="{D5CDD505-2E9C-101B-9397-08002B2CF9AE}">
    <vt:lpwstr/>
  </property>
  <property name="FSC#EIBPRECONFIG@1.1001:ExtRefInc" pid="15" fmtid="{D5CDD505-2E9C-101B-9397-08002B2CF9AE}">
    <vt:lpwstr/>
  </property>
  <property name="FSC#EIBPRECONFIG@1.1001:IncomingAddrdate" pid="16" fmtid="{D5CDD505-2E9C-101B-9397-08002B2CF9AE}">
    <vt:lpwstr/>
  </property>
  <property name="FSC#EIBPRECONFIG@1.1001:IncomingDelivery" pid="17" fmtid="{D5CDD505-2E9C-101B-9397-08002B2CF9AE}">
    <vt:lpwstr/>
  </property>
  <property name="FSC#EIBPRECONFIG@1.1001:OwnerEmail" pid="18" fmtid="{D5CDD505-2E9C-101B-9397-08002B2CF9AE}">
    <vt:lpwstr>roswitha.griesebner@bmeia.gv.at</vt:lpwstr>
  </property>
  <property name="FSC#EIBPRECONFIG@1.1001:OUEmail" pid="19" fmtid="{D5CDD505-2E9C-101B-9397-08002B2CF9AE}">
    <vt:lpwstr>sektioniii@bmeia.gv.at</vt:lpwstr>
  </property>
  <property name="FSC#EIBPRECONFIG@1.1001:OwnerGender" pid="20" fmtid="{D5CDD505-2E9C-101B-9397-08002B2CF9AE}">
    <vt:lpwstr/>
  </property>
  <property name="FSC#EIBPRECONFIG@1.1001:Priority" pid="21" fmtid="{D5CDD505-2E9C-101B-9397-08002B2CF9AE}">
    <vt:lpwstr>Nein</vt:lpwstr>
  </property>
  <property name="FSC#EIBPRECONFIG@1.1001:PreviousFiles" pid="22" fmtid="{D5CDD505-2E9C-101B-9397-08002B2CF9AE}">
    <vt:lpwstr/>
  </property>
  <property name="FSC#EIBPRECONFIG@1.1001:NextFiles" pid="23" fmtid="{D5CDD505-2E9C-101B-9397-08002B2CF9AE}">
    <vt:lpwstr/>
  </property>
  <property name="FSC#EIBPRECONFIG@1.1001:RelatedFiles" pid="24" fmtid="{D5CDD505-2E9C-101B-9397-08002B2CF9AE}">
    <vt:lpwstr/>
  </property>
  <property name="FSC#EIBPRECONFIG@1.1001:CompletedOrdinals" pid="25" fmtid="{D5CDD505-2E9C-101B-9397-08002B2CF9AE}">
    <vt:lpwstr/>
  </property>
  <property name="FSC#EIBPRECONFIG@1.1001:NrAttachments" pid="26" fmtid="{D5CDD505-2E9C-101B-9397-08002B2CF9AE}">
    <vt:lpwstr/>
  </property>
  <property name="FSC#EIBPRECONFIG@1.1001:Attachments" pid="27" fmtid="{D5CDD505-2E9C-101B-9397-08002B2CF9AE}">
    <vt:lpwstr/>
  </property>
  <property name="FSC#EIBPRECONFIG@1.1001:SubjectArea" pid="28" fmtid="{D5CDD505-2E9C-101B-9397-08002B2CF9AE}">
    <vt:lpwstr/>
  </property>
  <property name="FSC#EIBPRECONFIG@1.1001:Recipients" pid="29" fmtid="{D5CDD505-2E9C-101B-9397-08002B2CF9AE}">
    <vt:lpwstr/>
  </property>
  <property name="FSC#EIBPRECONFIG@1.1001:Classified" pid="30" fmtid="{D5CDD505-2E9C-101B-9397-08002B2CF9AE}">
    <vt:lpwstr/>
  </property>
  <property name="FSC#EIBPRECONFIG@1.1001:Deadline" pid="31" fmtid="{D5CDD505-2E9C-101B-9397-08002B2CF9AE}">
    <vt:lpwstr/>
  </property>
  <property name="FSC#EIBPRECONFIG@1.1001:SettlementSubj" pid="32" fmtid="{D5CDD505-2E9C-101B-9397-08002B2CF9AE}">
    <vt:lpwstr>BMEIA-EU.3.13.04/0016-III.1/2014</vt:lpwstr>
  </property>
  <property name="FSC#EIBPRECONFIG@1.1001:OUAddr" pid="33" fmtid="{D5CDD505-2E9C-101B-9397-08002B2CF9AE}">
    <vt:lpwstr> ,  </vt:lpwstr>
  </property>
  <property name="FSC#EIBPRECONFIG@1.1001:OUDescr" pid="34" fmtid="{D5CDD505-2E9C-101B-9397-08002B2CF9AE}">
    <vt:lpwstr/>
  </property>
  <property name="FSC#EIBPRECONFIG@1.1001:Signatures" pid="35" fmtid="{D5CDD505-2E9C-101B-9397-08002B2CF9AE}">
    <vt:lpwstr/>
  </property>
  <property name="FSC#EIBPRECONFIG@1.1001:currentuser" pid="36" fmtid="{D5CDD505-2E9C-101B-9397-08002B2CF9AE}">
    <vt:lpwstr>COO.3000.100.1.519326</vt:lpwstr>
  </property>
  <property name="FSC#EIBPRECONFIG@1.1001:currentuserrolegroup" pid="37" fmtid="{D5CDD505-2E9C-101B-9397-08002B2CF9AE}">
    <vt:lpwstr>COO.3000.100.1.147089</vt:lpwstr>
  </property>
  <property name="FSC#EIBPRECONFIG@1.1001:currentuserroleposition" pid="38" fmtid="{D5CDD505-2E9C-101B-9397-08002B2CF9AE}">
    <vt:lpwstr>COO.1.1001.1.4328</vt:lpwstr>
  </property>
  <property name="FSC#EIBPRECONFIG@1.1001:currentuserroot" pid="39" fmtid="{D5CDD505-2E9C-101B-9397-08002B2CF9AE}">
    <vt:lpwstr>COO.3000.112.11.668836</vt:lpwstr>
  </property>
  <property name="FSC#EIBPRECONFIG@1.1001:toplevelobject" pid="40" fmtid="{D5CDD505-2E9C-101B-9397-08002B2CF9AE}">
    <vt:lpwstr>COO.3000.112.16.3330238</vt:lpwstr>
  </property>
  <property name="FSC#EIBPRECONFIG@1.1001:objchangedby" pid="41" fmtid="{D5CDD505-2E9C-101B-9397-08002B2CF9AE}">
    <vt:lpwstr>Mag. Rupert Weinmann</vt:lpwstr>
  </property>
  <property name="FSC#EIBPRECONFIG@1.1001:objchangedbyPostTitle" pid="42" fmtid="{D5CDD505-2E9C-101B-9397-08002B2CF9AE}">
    <vt:lpwstr/>
  </property>
  <property name="FSC#EIBPRECONFIG@1.1001:objchangedat" pid="43" fmtid="{D5CDD505-2E9C-101B-9397-08002B2CF9AE}">
    <vt:lpwstr>04.04.2014</vt:lpwstr>
  </property>
  <property name="FSC#EIBPRECONFIG@1.1001:objname" pid="44" fmtid="{D5CDD505-2E9C-101B-9397-08002B2CF9AE}">
    <vt:lpwstr>VII.6. EU-Gemeinderäteinfo Ökodesign-RL aktualisiert</vt:lpwstr>
  </property>
  <property name="FSC#EIBPRECONFIG@1.1001:EIBProcessResponsiblePhone" pid="45" fmtid="{D5CDD505-2E9C-101B-9397-08002B2CF9AE}">
    <vt:lpwstr>3923</vt:lpwstr>
  </property>
  <property name="FSC#EIBPRECONFIG@1.1001:EIBProcessResponsibleMail" pid="46" fmtid="{D5CDD505-2E9C-101B-9397-08002B2CF9AE}">
    <vt:lpwstr>rupert.weinmann@bmeia.gv.at</vt:lpwstr>
  </property>
  <property name="FSC#EIBPRECONFIG@1.1001:EIBProcessResponsibleFax" pid="47" fmtid="{D5CDD505-2E9C-101B-9397-08002B2CF9AE}">
    <vt:lpwstr>3923</vt:lpwstr>
  </property>
  <property name="FSC#EIBPRECONFIG@1.1001:EIBProcessResponsiblePostTitle" pid="48" fmtid="{D5CDD505-2E9C-101B-9397-08002B2CF9AE}">
    <vt:lpwstr/>
  </property>
  <property name="FSC#EIBPRECONFIG@1.1001:EIBProcessResponsible" pid="49" fmtid="{D5CDD505-2E9C-101B-9397-08002B2CF9AE}">
    <vt:lpwstr>Mag. Rupert Weinmann</vt:lpwstr>
  </property>
  <property name="FSC#EIBPRECONFIG@1.1001:OwnerPostTitle" pid="50" fmtid="{D5CDD505-2E9C-101B-9397-08002B2CF9AE}">
    <vt:lpwstr/>
  </property>
  <property name="FSC#COOELAK@1.1001:Subject" pid="51" fmtid="{D5CDD505-2E9C-101B-9397-08002B2CF9AE}">
    <vt:lpwstr>EU-Gemeinderätetagung, Salzburg, 11. 4. 2014, Toolkit_x000d__x000a_</vt:lpwstr>
  </property>
  <property name="FSC#COOELAK@1.1001:FileReference" pid="52" fmtid="{D5CDD505-2E9C-101B-9397-08002B2CF9AE}">
    <vt:lpwstr>BMEIA-EU.3.13.04/0016-III.1/2014</vt:lpwstr>
  </property>
  <property name="FSC#COOELAK@1.1001:FileRefYear" pid="53" fmtid="{D5CDD505-2E9C-101B-9397-08002B2CF9AE}">
    <vt:lpwstr>2014</vt:lpwstr>
  </property>
  <property name="FSC#COOELAK@1.1001:FileRefOrdinal" pid="54" fmtid="{D5CDD505-2E9C-101B-9397-08002B2CF9AE}">
    <vt:lpwstr>16</vt:lpwstr>
  </property>
  <property name="FSC#COOELAK@1.1001:FileRefOU" pid="55" fmtid="{D5CDD505-2E9C-101B-9397-08002B2CF9AE}">
    <vt:lpwstr>III.1</vt:lpwstr>
  </property>
  <property name="FSC#COOELAK@1.1001:Organization" pid="56" fmtid="{D5CDD505-2E9C-101B-9397-08002B2CF9AE}">
    <vt:lpwstr/>
  </property>
  <property name="FSC#COOELAK@1.1001:Owner" pid="57" fmtid="{D5CDD505-2E9C-101B-9397-08002B2CF9AE}">
    <vt:lpwstr>Roswitha Griesebner</vt:lpwstr>
  </property>
  <property name="FSC#COOELAK@1.1001:OwnerExtension" pid="58" fmtid="{D5CDD505-2E9C-101B-9397-08002B2CF9AE}">
    <vt:lpwstr>3784</vt:lpwstr>
  </property>
  <property name="FSC#COOELAK@1.1001:OwnerFaxExtension" pid="59" fmtid="{D5CDD505-2E9C-101B-9397-08002B2CF9AE}">
    <vt:lpwstr>3784</vt:lpwstr>
  </property>
  <property name="FSC#COOELAK@1.1001:DispatchedBy" pid="60" fmtid="{D5CDD505-2E9C-101B-9397-08002B2CF9AE}">
    <vt:lpwstr/>
  </property>
  <property name="FSC#COOELAK@1.1001:DispatchedAt" pid="61" fmtid="{D5CDD505-2E9C-101B-9397-08002B2CF9AE}">
    <vt:lpwstr/>
  </property>
  <property name="FSC#COOELAK@1.1001:ApprovedBy" pid="62" fmtid="{D5CDD505-2E9C-101B-9397-08002B2CF9AE}">
    <vt:lpwstr/>
  </property>
  <property name="FSC#COOELAK@1.1001:ApprovedAt" pid="63" fmtid="{D5CDD505-2E9C-101B-9397-08002B2CF9AE}">
    <vt:lpwstr/>
  </property>
  <property name="FSC#COOELAK@1.1001:Department" pid="64" fmtid="{D5CDD505-2E9C-101B-9397-08002B2CF9AE}">
    <vt:lpwstr>BMEIA - III Sektionsassistenz (Sektionsassistenz III)</vt:lpwstr>
  </property>
  <property name="FSC#COOELAK@1.1001:CreatedAt" pid="65" fmtid="{D5CDD505-2E9C-101B-9397-08002B2CF9AE}">
    <vt:lpwstr>28.03.2014</vt:lpwstr>
  </property>
  <property name="FSC#COOELAK@1.1001:OU" pid="66" fmtid="{D5CDD505-2E9C-101B-9397-08002B2CF9AE}">
    <vt:lpwstr>BMEIA - III (Sektion)</vt:lpwstr>
  </property>
  <property name="FSC#COOELAK@1.1001:Priority" pid="67" fmtid="{D5CDD505-2E9C-101B-9397-08002B2CF9AE}">
    <vt:lpwstr> ()</vt:lpwstr>
  </property>
  <property name="FSC#COOELAK@1.1001:ObjBarCode" pid="68" fmtid="{D5CDD505-2E9C-101B-9397-08002B2CF9AE}">
    <vt:lpwstr>*COO.3000.112.15.2635113*</vt:lpwstr>
  </property>
  <property name="FSC#COOELAK@1.1001:RefBarCode" pid="69" fmtid="{D5CDD505-2E9C-101B-9397-08002B2CF9AE}">
    <vt:lpwstr/>
  </property>
  <property name="FSC#COOELAK@1.1001:FileRefBarCode" pid="70" fmtid="{D5CDD505-2E9C-101B-9397-08002B2CF9AE}">
    <vt:lpwstr>*BMEIA-EU.3.13.04/0016-III.1/2014*</vt:lpwstr>
  </property>
  <property name="FSC#COOELAK@1.1001:ExternalRef" pid="71" fmtid="{D5CDD505-2E9C-101B-9397-08002B2CF9AE}">
    <vt:lpwstr/>
  </property>
  <property name="FSC#COOELAK@1.1001:IncomingNumber" pid="72" fmtid="{D5CDD505-2E9C-101B-9397-08002B2CF9AE}">
    <vt:lpwstr/>
  </property>
  <property name="FSC#COOELAK@1.1001:IncomingSubject" pid="73" fmtid="{D5CDD505-2E9C-101B-9397-08002B2CF9AE}">
    <vt:lpwstr/>
  </property>
  <property name="FSC#COOELAK@1.1001:ProcessResponsible" pid="74" fmtid="{D5CDD505-2E9C-101B-9397-08002B2CF9AE}">
    <vt:lpwstr>Weinmann Rupert, Mag.</vt:lpwstr>
  </property>
  <property name="FSC#COOELAK@1.1001:ProcessResponsiblePhone" pid="75" fmtid="{D5CDD505-2E9C-101B-9397-08002B2CF9AE}">
    <vt:lpwstr>3923</vt:lpwstr>
  </property>
  <property name="FSC#COOELAK@1.1001:ProcessResponsibleMail" pid="76" fmtid="{D5CDD505-2E9C-101B-9397-08002B2CF9AE}">
    <vt:lpwstr>rupert.weinmann@bmeia.gv.at</vt:lpwstr>
  </property>
  <property name="FSC#COOELAK@1.1001:ProcessResponsibleFax" pid="77" fmtid="{D5CDD505-2E9C-101B-9397-08002B2CF9AE}">
    <vt:lpwstr>3923</vt:lpwstr>
  </property>
  <property name="FSC#COOELAK@1.1001:ApproverFirstName" pid="78" fmtid="{D5CDD505-2E9C-101B-9397-08002B2CF9AE}">
    <vt:lpwstr/>
  </property>
  <property name="FSC#COOELAK@1.1001:ApproverSurName" pid="79" fmtid="{D5CDD505-2E9C-101B-9397-08002B2CF9AE}">
    <vt:lpwstr/>
  </property>
  <property name="FSC#COOELAK@1.1001:ApproverTitle" pid="80" fmtid="{D5CDD505-2E9C-101B-9397-08002B2CF9AE}">
    <vt:lpwstr/>
  </property>
  <property name="FSC#COOELAK@1.1001:ExternalDate" pid="81" fmtid="{D5CDD505-2E9C-101B-9397-08002B2CF9AE}">
    <vt:lpwstr/>
  </property>
  <property name="FSC#COOELAK@1.1001:SettlementApprovedAt" pid="82" fmtid="{D5CDD505-2E9C-101B-9397-08002B2CF9AE}">
    <vt:lpwstr/>
  </property>
  <property name="FSC#COOELAK@1.1001:BaseNumber" pid="83" fmtid="{D5CDD505-2E9C-101B-9397-08002B2CF9AE}">
    <vt:lpwstr/>
  </property>
  <property name="FSC#COOELAK@1.1001:CurrentUserRolePos" pid="84" fmtid="{D5CDD505-2E9C-101B-9397-08002B2CF9AE}">
    <vt:lpwstr>Sachbearbeiter/in</vt:lpwstr>
  </property>
  <property name="FSC#COOELAK@1.1001:CurrentUserEmail" pid="85" fmtid="{D5CDD505-2E9C-101B-9397-08002B2CF9AE}">
    <vt:lpwstr>gerrit.seidl@bmeia.gv.at</vt:lpwstr>
  </property>
  <property name="FSC#ELAKGOV@1.1001:PersonalSubjGender" pid="86" fmtid="{D5CDD505-2E9C-101B-9397-08002B2CF9AE}">
    <vt:lpwstr/>
  </property>
  <property name="FSC#ELAKGOV@1.1001:PersonalSubjFirstName" pid="87" fmtid="{D5CDD505-2E9C-101B-9397-08002B2CF9AE}">
    <vt:lpwstr/>
  </property>
  <property name="FSC#ELAKGOV@1.1001:PersonalSubjSurName" pid="88" fmtid="{D5CDD505-2E9C-101B-9397-08002B2CF9AE}">
    <vt:lpwstr/>
  </property>
  <property name="FSC#ELAKGOV@1.1001:PersonalSubjSalutation" pid="89" fmtid="{D5CDD505-2E9C-101B-9397-08002B2CF9AE}">
    <vt:lpwstr/>
  </property>
  <property name="FSC#ELAKGOV@1.1001:PersonalSubjAddress" pid="90" fmtid="{D5CDD505-2E9C-101B-9397-08002B2CF9AE}">
    <vt:lpwstr/>
  </property>
  <property name="FSC#ATSTATECFG@1.1001:Office" pid="91" fmtid="{D5CDD505-2E9C-101B-9397-08002B2CF9AE}">
    <vt:lpwstr/>
  </property>
  <property name="FSC#ATSTATECFG@1.1001:Agent" pid="92" fmtid="{D5CDD505-2E9C-101B-9397-08002B2CF9AE}">
    <vt:lpwstr/>
  </property>
  <property name="FSC#ATSTATECFG@1.1001:AgentPhone" pid="93" fmtid="{D5CDD505-2E9C-101B-9397-08002B2CF9AE}">
    <vt:lpwstr/>
  </property>
  <property name="FSC#ATSTATECFG@1.1001:DepartmentFax" pid="94" fmtid="{D5CDD505-2E9C-101B-9397-08002B2CF9AE}">
    <vt:lpwstr/>
  </property>
  <property name="FSC#ATSTATECFG@1.1001:DepartmentEmail" pid="95" fmtid="{D5CDD505-2E9C-101B-9397-08002B2CF9AE}">
    <vt:lpwstr/>
  </property>
  <property name="FSC#ATSTATECFG@1.1001:SubfileDate" pid="96" fmtid="{D5CDD505-2E9C-101B-9397-08002B2CF9AE}">
    <vt:lpwstr/>
  </property>
  <property name="FSC#ATSTATECFG@1.1001:SubfileSubject" pid="97" fmtid="{D5CDD505-2E9C-101B-9397-08002B2CF9AE}">
    <vt:lpwstr/>
  </property>
  <property name="FSC#ATSTATECFG@1.1001:DepartmentZipCode" pid="98" fmtid="{D5CDD505-2E9C-101B-9397-08002B2CF9AE}">
    <vt:lpwstr/>
  </property>
  <property name="FSC#ATSTATECFG@1.1001:DepartmentCountry" pid="99" fmtid="{D5CDD505-2E9C-101B-9397-08002B2CF9AE}">
    <vt:lpwstr/>
  </property>
  <property name="FSC#ATSTATECFG@1.1001:DepartmentCity" pid="100" fmtid="{D5CDD505-2E9C-101B-9397-08002B2CF9AE}">
    <vt:lpwstr/>
  </property>
  <property name="FSC#ATSTATECFG@1.1001:DepartmentStreet" pid="101" fmtid="{D5CDD505-2E9C-101B-9397-08002B2CF9AE}">
    <vt:lpwstr/>
  </property>
  <property name="FSC#ATSTATECFG@1.1001:DepartmentDVR" pid="102" fmtid="{D5CDD505-2E9C-101B-9397-08002B2CF9AE}">
    <vt:lpwstr/>
  </property>
  <property name="FSC#ATSTATECFG@1.1001:DepartmentUID" pid="103" fmtid="{D5CDD505-2E9C-101B-9397-08002B2CF9AE}">
    <vt:lpwstr/>
  </property>
  <property name="FSC#ATSTATECFG@1.1001:SubfileReference" pid="104" fmtid="{D5CDD505-2E9C-101B-9397-08002B2CF9AE}">
    <vt:lpwstr/>
  </property>
  <property name="FSC#ATSTATECFG@1.1001:Clause" pid="105" fmtid="{D5CDD505-2E9C-101B-9397-08002B2CF9AE}">
    <vt:lpwstr/>
  </property>
  <property name="FSC#ATSTATECFG@1.1001:ApprovedSignature" pid="106" fmtid="{D5CDD505-2E9C-101B-9397-08002B2CF9AE}">
    <vt:lpwstr/>
  </property>
  <property name="FSC#ATSTATECFG@1.1001:BankAccount" pid="107" fmtid="{D5CDD505-2E9C-101B-9397-08002B2CF9AE}">
    <vt:lpwstr/>
  </property>
  <property name="FSC#ATSTATECFG@1.1001:BankAccountOwner" pid="108" fmtid="{D5CDD505-2E9C-101B-9397-08002B2CF9AE}">
    <vt:lpwstr/>
  </property>
  <property name="FSC#ATSTATECFG@1.1001:BankInstitute" pid="109" fmtid="{D5CDD505-2E9C-101B-9397-08002B2CF9AE}">
    <vt:lpwstr/>
  </property>
  <property name="FSC#ATSTATECFG@1.1001:BankAccountID" pid="110" fmtid="{D5CDD505-2E9C-101B-9397-08002B2CF9AE}">
    <vt:lpwstr/>
  </property>
  <property name="FSC#ATSTATECFG@1.1001:BankAccountIBAN" pid="111" fmtid="{D5CDD505-2E9C-101B-9397-08002B2CF9AE}">
    <vt:lpwstr/>
  </property>
  <property name="FSC#ATSTATECFG@1.1001:BankAccountBIC" pid="112" fmtid="{D5CDD505-2E9C-101B-9397-08002B2CF9AE}">
    <vt:lpwstr/>
  </property>
  <property name="FSC#ATSTATECFG@1.1001:BankName" pid="113" fmtid="{D5CDD505-2E9C-101B-9397-08002B2CF9AE}">
    <vt:lpwstr/>
  </property>
  <property name="FSC#CCAPRECONFIG@15.1001:AddrAnrede" pid="114" fmtid="{D5CDD505-2E9C-101B-9397-08002B2CF9AE}">
    <vt:lpwstr/>
  </property>
  <property name="FSC#CCAPRECONFIG@15.1001:AddrTitel" pid="115" fmtid="{D5CDD505-2E9C-101B-9397-08002B2CF9AE}">
    <vt:lpwstr/>
  </property>
  <property name="FSC#CCAPRECONFIG@15.1001:AddrNachgestellter_Titel" pid="116" fmtid="{D5CDD505-2E9C-101B-9397-08002B2CF9AE}">
    <vt:lpwstr/>
  </property>
  <property name="FSC#CCAPRECONFIG@15.1001:AddrVorname" pid="117" fmtid="{D5CDD505-2E9C-101B-9397-08002B2CF9AE}">
    <vt:lpwstr/>
  </property>
  <property name="FSC#CCAPRECONFIG@15.1001:AddrNachname" pid="118" fmtid="{D5CDD505-2E9C-101B-9397-08002B2CF9AE}">
    <vt:lpwstr/>
  </property>
  <property name="FSC#CCAPRECONFIG@15.1001:AddrzH" pid="119" fmtid="{D5CDD505-2E9C-101B-9397-08002B2CF9AE}">
    <vt:lpwstr/>
  </property>
  <property name="FSC#CCAPRECONFIG@15.1001:AddrGeschlecht" pid="120" fmtid="{D5CDD505-2E9C-101B-9397-08002B2CF9AE}">
    <vt:lpwstr/>
  </property>
  <property name="FSC#CCAPRECONFIG@15.1001:AddrStrasse" pid="121" fmtid="{D5CDD505-2E9C-101B-9397-08002B2CF9AE}">
    <vt:lpwstr/>
  </property>
  <property name="FSC#CCAPRECONFIG@15.1001:AddrHausnummer" pid="122" fmtid="{D5CDD505-2E9C-101B-9397-08002B2CF9AE}">
    <vt:lpwstr/>
  </property>
  <property name="FSC#CCAPRECONFIG@15.1001:AddrStiege" pid="123" fmtid="{D5CDD505-2E9C-101B-9397-08002B2CF9AE}">
    <vt:lpwstr/>
  </property>
  <property name="FSC#CCAPRECONFIG@15.1001:AddrTuer" pid="124" fmtid="{D5CDD505-2E9C-101B-9397-08002B2CF9AE}">
    <vt:lpwstr/>
  </property>
  <property name="FSC#CCAPRECONFIG@15.1001:AddrPostfach" pid="125" fmtid="{D5CDD505-2E9C-101B-9397-08002B2CF9AE}">
    <vt:lpwstr/>
  </property>
  <property name="FSC#CCAPRECONFIG@15.1001:AddrPostleitzahl" pid="126" fmtid="{D5CDD505-2E9C-101B-9397-08002B2CF9AE}">
    <vt:lpwstr/>
  </property>
  <property name="FSC#CCAPRECONFIG@15.1001:AddrOrt" pid="127" fmtid="{D5CDD505-2E9C-101B-9397-08002B2CF9AE}">
    <vt:lpwstr/>
  </property>
  <property name="FSC#CCAPRECONFIG@15.1001:AddrLand" pid="128" fmtid="{D5CDD505-2E9C-101B-9397-08002B2CF9AE}">
    <vt:lpwstr/>
  </property>
  <property name="FSC#CCAPRECONFIG@15.1001:AddrEmail" pid="129" fmtid="{D5CDD505-2E9C-101B-9397-08002B2CF9AE}">
    <vt:lpwstr/>
  </property>
  <property name="FSC#CCAPRECONFIG@15.1001:AddrAdresse" pid="130" fmtid="{D5CDD505-2E9C-101B-9397-08002B2CF9AE}">
    <vt:lpwstr/>
  </property>
  <property name="FSC#CCAPRECONFIG@15.1001:AddrFax" pid="131" fmtid="{D5CDD505-2E9C-101B-9397-08002B2CF9AE}">
    <vt:lpwstr/>
  </property>
  <property name="FSC#CCAPRECONFIG@15.1001:AddrOrganisationsname" pid="132" fmtid="{D5CDD505-2E9C-101B-9397-08002B2CF9AE}">
    <vt:lpwstr/>
  </property>
  <property name="FSC#CCAPRECONFIG@15.1001:AddrOrganisationskurzname" pid="133" fmtid="{D5CDD505-2E9C-101B-9397-08002B2CF9AE}">
    <vt:lpwstr/>
  </property>
  <property name="FSC#CCAPRECONFIG@15.1001:AddrAbschriftsbemerkung" pid="134" fmtid="{D5CDD505-2E9C-101B-9397-08002B2CF9AE}">
    <vt:lpwstr/>
  </property>
  <property name="FSC#CCAPRECONFIG@15.1001:AddrName_Zeile_2" pid="135" fmtid="{D5CDD505-2E9C-101B-9397-08002B2CF9AE}">
    <vt:lpwstr/>
  </property>
  <property name="FSC#CCAPRECONFIG@15.1001:AddrName_Zeile_3" pid="136" fmtid="{D5CDD505-2E9C-101B-9397-08002B2CF9AE}">
    <vt:lpwstr/>
  </property>
  <property name="FSC#CCAPRECONFIG@15.1001:AddrPostalischeAdresse" pid="137" fmtid="{D5CDD505-2E9C-101B-9397-08002B2CF9AE}">
    <vt:lpwstr/>
  </property>
  <property name="FSC#ATPRECONFIG@1.1001:ChargePreview" pid="138" fmtid="{D5CDD505-2E9C-101B-9397-08002B2CF9AE}">
    <vt:lpwstr/>
  </property>
  <property name="FSC#ATSTATECFG@1.1001:ExternalFile" pid="139" fmtid="{D5CDD505-2E9C-101B-9397-08002B2CF9AE}">
    <vt:lpwstr/>
  </property>
  <property name="FSC#COOSYSTEM@1.1:Container" pid="140" fmtid="{D5CDD505-2E9C-101B-9397-08002B2CF9AE}">
    <vt:lpwstr>COO.3000.112.15.2635113</vt:lpwstr>
  </property>
  <property name="FSC#FSCFOLIO@1.1001:docpropproject" pid="141" fmtid="{D5CDD505-2E9C-101B-9397-08002B2CF9AE}">
    <vt:lpwstr/>
  </property>
</Properties>
</file>