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23" w:rsidRPr="004F471A" w:rsidRDefault="00225A23" w:rsidP="004E3FF2">
      <w:pPr>
        <w:shd w:val="clear" w:color="auto" w:fill="002060"/>
        <w:spacing w:beforeLines="1" w:before="2"/>
        <w:jc w:val="center"/>
        <w:rPr>
          <w:color w:val="FFFFFF" w:themeColor="background1"/>
        </w:rPr>
      </w:pPr>
      <w:r>
        <w:rPr>
          <w:rFonts w:ascii="Arial" w:hAnsi="Arial" w:cs="Times New Roman"/>
          <w:b/>
          <w:color w:val="FFFFFF" w:themeColor="background1"/>
          <w:sz w:val="28"/>
          <w:szCs w:val="28"/>
        </w:rPr>
        <w:br/>
      </w:r>
      <w:r w:rsidRPr="004F471A">
        <w:rPr>
          <w:rFonts w:ascii="Arial" w:hAnsi="Arial" w:cs="Times New Roman"/>
          <w:b/>
          <w:color w:val="FFFFFF" w:themeColor="background1"/>
          <w:sz w:val="28"/>
          <w:szCs w:val="28"/>
        </w:rPr>
        <w:t>Stärkung des europäischen Finanzsektors</w:t>
      </w:r>
    </w:p>
    <w:p w:rsidR="00225A23" w:rsidRPr="004F471A" w:rsidRDefault="00225A23" w:rsidP="004E3FF2">
      <w:pPr>
        <w:shd w:val="clear" w:color="auto" w:fill="002060"/>
        <w:spacing w:beforeLines="1" w:before="2"/>
        <w:jc w:val="center"/>
        <w:rPr>
          <w:color w:val="FFFFFF" w:themeColor="background1"/>
        </w:rPr>
      </w:pPr>
      <w:r w:rsidRPr="004F471A">
        <w:rPr>
          <w:rFonts w:ascii="Arial" w:hAnsi="Arial" w:cs="Times New Roman"/>
          <w:b/>
          <w:color w:val="FFFFFF" w:themeColor="background1"/>
          <w:sz w:val="28"/>
          <w:szCs w:val="28"/>
        </w:rPr>
        <w:t xml:space="preserve">durch </w:t>
      </w:r>
      <w:r w:rsidR="00A422CC">
        <w:rPr>
          <w:rFonts w:ascii="Arial" w:hAnsi="Arial" w:cs="Times New Roman"/>
          <w:b/>
          <w:color w:val="FFFFFF" w:themeColor="background1"/>
          <w:sz w:val="28"/>
          <w:szCs w:val="28"/>
        </w:rPr>
        <w:t>neue Eigenkapitalanforderungen für Banken</w:t>
      </w:r>
      <w:r>
        <w:rPr>
          <w:rFonts w:ascii="Arial" w:hAnsi="Arial" w:cs="Times New Roman"/>
          <w:b/>
          <w:color w:val="FFFFFF" w:themeColor="background1"/>
          <w:sz w:val="28"/>
          <w:szCs w:val="28"/>
        </w:rPr>
        <w:br/>
      </w:r>
    </w:p>
    <w:p w:rsidR="00D47F84" w:rsidRDefault="00D47F84" w:rsidP="008D47F3">
      <w:pPr>
        <w:spacing w:after="120"/>
        <w:jc w:val="both"/>
        <w:rPr>
          <w:rFonts w:ascii="Arial" w:hAnsi="Arial" w:cs="Times New Roman"/>
          <w:color w:val="000000"/>
          <w:sz w:val="24"/>
          <w:szCs w:val="24"/>
        </w:rPr>
      </w:pPr>
      <w:r w:rsidRPr="005A1F9A">
        <w:rPr>
          <w:rFonts w:ascii="Arial" w:hAnsi="Arial" w:cs="Times New Roman"/>
          <w:color w:val="000000"/>
          <w:sz w:val="24"/>
          <w:szCs w:val="24"/>
        </w:rPr>
        <w:t xml:space="preserve">Die Finanzkrise hat die Schwachstellen des europäischen Finanzsektors und der Bankenaufsicht deutlich aufgezeigt. </w:t>
      </w:r>
      <w:r w:rsidR="00381065" w:rsidRPr="005A1F9A">
        <w:rPr>
          <w:rFonts w:ascii="Arial" w:hAnsi="Arial" w:cs="Times New Roman"/>
          <w:color w:val="000000"/>
          <w:sz w:val="24"/>
          <w:szCs w:val="24"/>
        </w:rPr>
        <w:t xml:space="preserve">Aufgrund ihrer </w:t>
      </w:r>
      <w:r w:rsidR="00BB2E2D" w:rsidRPr="005A1F9A">
        <w:rPr>
          <w:rFonts w:ascii="Arial" w:hAnsi="Arial" w:cs="Times New Roman"/>
          <w:color w:val="000000"/>
          <w:sz w:val="24"/>
          <w:szCs w:val="24"/>
        </w:rPr>
        <w:t xml:space="preserve">Funktion </w:t>
      </w:r>
      <w:r w:rsidR="00FC5ADA" w:rsidRPr="005A1F9A">
        <w:rPr>
          <w:rFonts w:ascii="Arial" w:hAnsi="Arial" w:cs="Times New Roman"/>
          <w:color w:val="000000"/>
          <w:sz w:val="24"/>
          <w:szCs w:val="24"/>
        </w:rPr>
        <w:t>als Geldgeber für die Wirtschaft für</w:t>
      </w:r>
      <w:r w:rsidR="005A1F9A">
        <w:rPr>
          <w:rFonts w:ascii="Arial" w:hAnsi="Arial" w:cs="Times New Roman"/>
          <w:color w:val="000000"/>
          <w:sz w:val="24"/>
          <w:szCs w:val="24"/>
        </w:rPr>
        <w:t xml:space="preserve"> </w:t>
      </w:r>
      <w:r w:rsidR="00381065" w:rsidRPr="005A1F9A">
        <w:rPr>
          <w:rFonts w:ascii="Arial" w:hAnsi="Arial" w:cs="Times New Roman"/>
          <w:color w:val="000000"/>
          <w:sz w:val="24"/>
          <w:szCs w:val="24"/>
        </w:rPr>
        <w:t xml:space="preserve">Investitionen in Wachstum und Arbeitsplätze, sind Banken von großer </w:t>
      </w:r>
      <w:r w:rsidRPr="005A1F9A">
        <w:rPr>
          <w:rFonts w:ascii="Arial" w:hAnsi="Arial" w:cs="Times New Roman"/>
          <w:color w:val="000000"/>
          <w:sz w:val="24"/>
          <w:szCs w:val="24"/>
        </w:rPr>
        <w:t>volkswirtschaftlicher Bedeutung.</w:t>
      </w:r>
      <w:r w:rsidR="00BB2E2D" w:rsidRPr="005A1F9A">
        <w:rPr>
          <w:rFonts w:ascii="Arial" w:hAnsi="Arial" w:cs="Times New Roman"/>
          <w:color w:val="000000"/>
          <w:sz w:val="24"/>
          <w:szCs w:val="24"/>
        </w:rPr>
        <w:t xml:space="preserve"> Um in Zukunft</w:t>
      </w:r>
      <w:r w:rsidRPr="005A1F9A">
        <w:rPr>
          <w:rFonts w:ascii="Arial" w:hAnsi="Arial" w:cs="Times New Roman"/>
          <w:color w:val="000000"/>
          <w:sz w:val="24"/>
          <w:szCs w:val="24"/>
        </w:rPr>
        <w:t xml:space="preserve"> zu verhindern, dass Banken, </w:t>
      </w:r>
      <w:r w:rsidR="0006651D" w:rsidRPr="005A1F9A">
        <w:rPr>
          <w:rFonts w:ascii="Arial" w:hAnsi="Arial" w:cs="Times New Roman"/>
          <w:color w:val="000000"/>
          <w:sz w:val="24"/>
          <w:szCs w:val="24"/>
        </w:rPr>
        <w:t xml:space="preserve">die </w:t>
      </w:r>
      <w:r w:rsidR="00BB2E2D" w:rsidRPr="005A1F9A">
        <w:rPr>
          <w:rFonts w:ascii="Arial" w:hAnsi="Arial" w:cs="Times New Roman"/>
          <w:color w:val="000000"/>
          <w:sz w:val="24"/>
          <w:szCs w:val="24"/>
        </w:rPr>
        <w:t>in Schieflage geraten</w:t>
      </w:r>
      <w:r w:rsidR="0006651D" w:rsidRPr="005A1F9A">
        <w:rPr>
          <w:rFonts w:ascii="Arial" w:hAnsi="Arial" w:cs="Times New Roman"/>
          <w:color w:val="000000"/>
          <w:sz w:val="24"/>
          <w:szCs w:val="24"/>
        </w:rPr>
        <w:t xml:space="preserve"> sind</w:t>
      </w:r>
      <w:r w:rsidR="00BB2E2D" w:rsidRPr="005A1F9A">
        <w:rPr>
          <w:rFonts w:ascii="Arial" w:hAnsi="Arial" w:cs="Times New Roman"/>
          <w:color w:val="000000"/>
          <w:sz w:val="24"/>
          <w:szCs w:val="24"/>
        </w:rPr>
        <w:t>, von den Steuerzahlern aufgefangen werden müssen,</w:t>
      </w:r>
      <w:r w:rsidRPr="005A1F9A">
        <w:rPr>
          <w:rFonts w:ascii="Arial" w:hAnsi="Arial" w:cs="Times New Roman"/>
          <w:color w:val="000000"/>
          <w:sz w:val="24"/>
          <w:szCs w:val="24"/>
        </w:rPr>
        <w:t xml:space="preserve"> </w:t>
      </w:r>
      <w:r w:rsidR="00FC5ADA" w:rsidRPr="005A1F9A">
        <w:rPr>
          <w:rFonts w:ascii="Arial" w:hAnsi="Arial" w:cs="Times New Roman"/>
          <w:color w:val="000000"/>
          <w:sz w:val="24"/>
          <w:szCs w:val="24"/>
        </w:rPr>
        <w:t>arbeitet die EU seit Ausbruch der Finanzkrise 2008 an</w:t>
      </w:r>
      <w:r w:rsidRPr="005A1F9A">
        <w:rPr>
          <w:rFonts w:ascii="Arial" w:hAnsi="Arial" w:cs="Times New Roman"/>
          <w:color w:val="000000"/>
          <w:sz w:val="24"/>
          <w:szCs w:val="24"/>
        </w:rPr>
        <w:t xml:space="preserve"> </w:t>
      </w:r>
      <w:r w:rsidRPr="00C84B22">
        <w:rPr>
          <w:rFonts w:ascii="Arial" w:hAnsi="Arial" w:cs="Times New Roman"/>
          <w:b/>
          <w:color w:val="000000"/>
          <w:sz w:val="24"/>
          <w:szCs w:val="24"/>
        </w:rPr>
        <w:t>umfassende</w:t>
      </w:r>
      <w:r w:rsidR="00FC5ADA" w:rsidRPr="00C84B22">
        <w:rPr>
          <w:rFonts w:ascii="Arial" w:hAnsi="Arial" w:cs="Times New Roman"/>
          <w:b/>
          <w:color w:val="000000"/>
          <w:sz w:val="24"/>
          <w:szCs w:val="24"/>
        </w:rPr>
        <w:t>n</w:t>
      </w:r>
      <w:r w:rsidRPr="00C84B22">
        <w:rPr>
          <w:rFonts w:ascii="Arial" w:hAnsi="Arial" w:cs="Times New Roman"/>
          <w:b/>
          <w:color w:val="000000"/>
          <w:sz w:val="24"/>
          <w:szCs w:val="24"/>
        </w:rPr>
        <w:t xml:space="preserve"> </w:t>
      </w:r>
      <w:r w:rsidR="00FC5ADA" w:rsidRPr="00C84B22">
        <w:rPr>
          <w:rFonts w:ascii="Arial" w:hAnsi="Arial" w:cs="Times New Roman"/>
          <w:b/>
          <w:color w:val="000000"/>
          <w:sz w:val="24"/>
          <w:szCs w:val="24"/>
        </w:rPr>
        <w:t>Reformen für Bankenaufsicht und –</w:t>
      </w:r>
      <w:proofErr w:type="spellStart"/>
      <w:r w:rsidRPr="00C84B22">
        <w:rPr>
          <w:rFonts w:ascii="Arial" w:hAnsi="Arial" w:cs="Times New Roman"/>
          <w:b/>
          <w:color w:val="000000"/>
          <w:sz w:val="24"/>
          <w:szCs w:val="24"/>
        </w:rPr>
        <w:t>regulierun</w:t>
      </w:r>
      <w:r w:rsidR="00FC5ADA" w:rsidRPr="00C84B22">
        <w:rPr>
          <w:rFonts w:ascii="Arial" w:hAnsi="Arial" w:cs="Times New Roman"/>
          <w:b/>
          <w:color w:val="000000"/>
          <w:sz w:val="24"/>
          <w:szCs w:val="24"/>
        </w:rPr>
        <w:t>g</w:t>
      </w:r>
      <w:proofErr w:type="spellEnd"/>
      <w:r w:rsidR="00FC5ADA" w:rsidRPr="005A1F9A">
        <w:rPr>
          <w:rFonts w:ascii="Arial" w:hAnsi="Arial" w:cs="Times New Roman"/>
          <w:color w:val="000000"/>
          <w:sz w:val="24"/>
          <w:szCs w:val="24"/>
        </w:rPr>
        <w:t>.</w:t>
      </w:r>
      <w:r w:rsidR="005A1F9A">
        <w:rPr>
          <w:rFonts w:ascii="Arial" w:hAnsi="Arial" w:cs="Times New Roman"/>
          <w:color w:val="000000"/>
          <w:sz w:val="24"/>
          <w:szCs w:val="24"/>
        </w:rPr>
        <w:t xml:space="preserve"> </w:t>
      </w:r>
      <w:r w:rsidR="00BB2E2D">
        <w:rPr>
          <w:rFonts w:ascii="Arial" w:hAnsi="Arial" w:cs="Times New Roman"/>
          <w:color w:val="000000"/>
          <w:sz w:val="24"/>
          <w:szCs w:val="24"/>
        </w:rPr>
        <w:t xml:space="preserve">  </w:t>
      </w:r>
      <w:r w:rsidR="00225A23" w:rsidRPr="00225A23">
        <w:rPr>
          <w:rFonts w:ascii="Arial" w:hAnsi="Arial" w:cs="Times New Roman"/>
          <w:color w:val="000000"/>
          <w:sz w:val="24"/>
          <w:szCs w:val="24"/>
        </w:rPr>
        <w:t xml:space="preserve"> </w:t>
      </w:r>
    </w:p>
    <w:p w:rsidR="00225A23" w:rsidRPr="00225A23" w:rsidRDefault="00A422CC" w:rsidP="008D47F3">
      <w:pPr>
        <w:spacing w:after="120"/>
        <w:jc w:val="both"/>
        <w:rPr>
          <w:color w:val="000000"/>
          <w:sz w:val="24"/>
          <w:szCs w:val="24"/>
        </w:rPr>
      </w:pPr>
      <w:r>
        <w:rPr>
          <w:rFonts w:ascii="Arial" w:hAnsi="Arial" w:cs="Times New Roman"/>
          <w:color w:val="000000"/>
          <w:sz w:val="24"/>
          <w:szCs w:val="24"/>
        </w:rPr>
        <w:t xml:space="preserve">Ein Kernelement dieser Reformen ist das </w:t>
      </w:r>
      <w:r w:rsidR="0006651D">
        <w:rPr>
          <w:rFonts w:ascii="Arial" w:hAnsi="Arial" w:cs="Times New Roman"/>
          <w:color w:val="000000"/>
          <w:sz w:val="24"/>
          <w:szCs w:val="24"/>
        </w:rPr>
        <w:t xml:space="preserve">sog. </w:t>
      </w:r>
      <w:r>
        <w:rPr>
          <w:rFonts w:ascii="Arial" w:hAnsi="Arial" w:cs="Times New Roman"/>
          <w:color w:val="000000"/>
          <w:sz w:val="24"/>
          <w:szCs w:val="24"/>
        </w:rPr>
        <w:t>CRD IV/CRR I-Paket, das ein Bündel neuer internationaler Standards an Eigenka</w:t>
      </w:r>
      <w:r w:rsidR="001C02C0">
        <w:rPr>
          <w:rFonts w:ascii="Arial" w:hAnsi="Arial" w:cs="Times New Roman"/>
          <w:color w:val="000000"/>
          <w:sz w:val="24"/>
          <w:szCs w:val="24"/>
        </w:rPr>
        <w:t>pitalanforderungen für Banken in</w:t>
      </w:r>
      <w:r>
        <w:rPr>
          <w:rFonts w:ascii="Arial" w:hAnsi="Arial" w:cs="Times New Roman"/>
          <w:color w:val="000000"/>
          <w:sz w:val="24"/>
          <w:szCs w:val="24"/>
        </w:rPr>
        <w:t xml:space="preserve"> EU-Recht umsetzt. </w:t>
      </w:r>
      <w:r w:rsidR="000234CC">
        <w:rPr>
          <w:rFonts w:ascii="Arial" w:hAnsi="Arial" w:cs="Times New Roman"/>
          <w:color w:val="000000"/>
          <w:sz w:val="24"/>
          <w:szCs w:val="24"/>
        </w:rPr>
        <w:t>Das Maßnahmenpaket soll</w:t>
      </w:r>
      <w:r w:rsidR="00225A23" w:rsidRPr="00225A23">
        <w:rPr>
          <w:rFonts w:ascii="Arial" w:hAnsi="Arial" w:cs="Times New Roman"/>
          <w:color w:val="000000"/>
          <w:sz w:val="24"/>
          <w:szCs w:val="24"/>
        </w:rPr>
        <w:t xml:space="preserve"> </w:t>
      </w:r>
      <w:r>
        <w:rPr>
          <w:rFonts w:ascii="Arial" w:hAnsi="Arial" w:cs="Times New Roman"/>
          <w:color w:val="000000"/>
          <w:sz w:val="24"/>
          <w:szCs w:val="24"/>
        </w:rPr>
        <w:t xml:space="preserve">einerseits </w:t>
      </w:r>
      <w:r w:rsidR="00225A23" w:rsidRPr="00225A23">
        <w:rPr>
          <w:rFonts w:ascii="Arial" w:hAnsi="Arial" w:cs="Times New Roman"/>
          <w:color w:val="000000"/>
          <w:sz w:val="24"/>
          <w:szCs w:val="24"/>
        </w:rPr>
        <w:t>den EU-Ba</w:t>
      </w:r>
      <w:r w:rsidR="000234CC">
        <w:rPr>
          <w:rFonts w:ascii="Arial" w:hAnsi="Arial" w:cs="Times New Roman"/>
          <w:color w:val="000000"/>
          <w:sz w:val="24"/>
          <w:szCs w:val="24"/>
        </w:rPr>
        <w:t>nkensektor widerstandsfähiger</w:t>
      </w:r>
      <w:r>
        <w:rPr>
          <w:rFonts w:ascii="Arial" w:hAnsi="Arial" w:cs="Times New Roman"/>
          <w:color w:val="000000"/>
          <w:sz w:val="24"/>
          <w:szCs w:val="24"/>
        </w:rPr>
        <w:t>, stabiler</w:t>
      </w:r>
      <w:r w:rsidR="00225A23" w:rsidRPr="00225A23">
        <w:rPr>
          <w:rFonts w:ascii="Arial" w:hAnsi="Arial" w:cs="Times New Roman"/>
          <w:color w:val="000000"/>
          <w:sz w:val="24"/>
          <w:szCs w:val="24"/>
        </w:rPr>
        <w:t xml:space="preserve"> </w:t>
      </w:r>
      <w:r>
        <w:rPr>
          <w:rFonts w:ascii="Arial" w:hAnsi="Arial" w:cs="Times New Roman"/>
          <w:color w:val="000000"/>
          <w:sz w:val="24"/>
          <w:szCs w:val="24"/>
        </w:rPr>
        <w:t xml:space="preserve">und krisenresistenter </w:t>
      </w:r>
      <w:r w:rsidR="000234CC">
        <w:rPr>
          <w:rFonts w:ascii="Arial" w:hAnsi="Arial" w:cs="Times New Roman"/>
          <w:color w:val="000000"/>
          <w:sz w:val="24"/>
          <w:szCs w:val="24"/>
        </w:rPr>
        <w:t>machen und gleichzeitig dafür</w:t>
      </w:r>
      <w:r w:rsidR="00225A23" w:rsidRPr="00225A23">
        <w:rPr>
          <w:rFonts w:ascii="Arial" w:hAnsi="Arial" w:cs="Times New Roman"/>
          <w:color w:val="000000"/>
          <w:sz w:val="24"/>
          <w:szCs w:val="24"/>
        </w:rPr>
        <w:t xml:space="preserve"> sorgen, dass die Banken weiterhin Wirtschaf</w:t>
      </w:r>
      <w:r w:rsidR="00D47F84">
        <w:rPr>
          <w:rFonts w:ascii="Arial" w:hAnsi="Arial" w:cs="Times New Roman"/>
          <w:color w:val="000000"/>
          <w:sz w:val="24"/>
          <w:szCs w:val="24"/>
        </w:rPr>
        <w:t xml:space="preserve">t und Wachstum finanzieren. </w:t>
      </w:r>
      <w:r w:rsidR="00225A23" w:rsidRPr="00225A23">
        <w:rPr>
          <w:rFonts w:ascii="Arial" w:hAnsi="Arial" w:cs="Times New Roman"/>
          <w:color w:val="000000"/>
          <w:sz w:val="24"/>
          <w:szCs w:val="24"/>
        </w:rPr>
        <w:t>Die</w:t>
      </w:r>
      <w:r w:rsidR="008D47F3">
        <w:rPr>
          <w:rFonts w:ascii="Arial" w:hAnsi="Arial" w:cs="Times New Roman"/>
          <w:color w:val="000000"/>
          <w:sz w:val="24"/>
          <w:szCs w:val="24"/>
        </w:rPr>
        <w:t xml:space="preserve"> neuen Regelungen sollen </w:t>
      </w:r>
      <w:r w:rsidR="0006651D">
        <w:rPr>
          <w:rFonts w:ascii="Arial" w:hAnsi="Arial" w:cs="Times New Roman"/>
          <w:color w:val="000000"/>
          <w:sz w:val="24"/>
          <w:szCs w:val="24"/>
        </w:rPr>
        <w:t xml:space="preserve">auf </w:t>
      </w:r>
      <w:r w:rsidR="008D47F3">
        <w:rPr>
          <w:rFonts w:ascii="Arial" w:hAnsi="Arial" w:cs="Times New Roman"/>
          <w:color w:val="000000"/>
          <w:sz w:val="24"/>
          <w:szCs w:val="24"/>
        </w:rPr>
        <w:t>ca.</w:t>
      </w:r>
      <w:r w:rsidR="00225A23" w:rsidRPr="00225A23">
        <w:rPr>
          <w:rFonts w:ascii="Arial" w:hAnsi="Arial" w:cs="Times New Roman"/>
          <w:color w:val="000000"/>
          <w:sz w:val="24"/>
          <w:szCs w:val="24"/>
        </w:rPr>
        <w:t xml:space="preserve"> </w:t>
      </w:r>
      <w:r w:rsidR="00225A23" w:rsidRPr="00225A23">
        <w:rPr>
          <w:rFonts w:ascii="Arial" w:hAnsi="Arial" w:cs="Times New Roman"/>
          <w:b/>
          <w:color w:val="000000"/>
          <w:sz w:val="24"/>
          <w:szCs w:val="24"/>
        </w:rPr>
        <w:t xml:space="preserve">8200 Banken in der EU </w:t>
      </w:r>
      <w:r w:rsidR="00225A23" w:rsidRPr="00225A23">
        <w:rPr>
          <w:rFonts w:ascii="Arial" w:hAnsi="Arial" w:cs="Times New Roman"/>
          <w:color w:val="000000"/>
          <w:sz w:val="24"/>
          <w:szCs w:val="24"/>
        </w:rPr>
        <w:t xml:space="preserve">Anwendung finden, die rd. </w:t>
      </w:r>
      <w:r w:rsidR="00225A23" w:rsidRPr="00225A23">
        <w:rPr>
          <w:rFonts w:ascii="Arial" w:hAnsi="Arial" w:cs="Times New Roman"/>
          <w:b/>
          <w:color w:val="000000"/>
          <w:sz w:val="24"/>
          <w:szCs w:val="24"/>
        </w:rPr>
        <w:t>75% der Wirtschaft</w:t>
      </w:r>
      <w:r w:rsidR="00225A23" w:rsidRPr="00225A23">
        <w:rPr>
          <w:rFonts w:ascii="Arial" w:hAnsi="Arial" w:cs="Times New Roman"/>
          <w:color w:val="000000"/>
          <w:sz w:val="24"/>
          <w:szCs w:val="24"/>
        </w:rPr>
        <w:t xml:space="preserve"> finanzieren.</w:t>
      </w:r>
    </w:p>
    <w:p w:rsidR="008D47F3" w:rsidRDefault="00225A23" w:rsidP="008D47F3">
      <w:pPr>
        <w:spacing w:after="120"/>
        <w:jc w:val="both"/>
        <w:rPr>
          <w:color w:val="000000"/>
          <w:sz w:val="24"/>
          <w:szCs w:val="24"/>
        </w:rPr>
      </w:pPr>
      <w:r w:rsidRPr="00225A23">
        <w:rPr>
          <w:rFonts w:ascii="Arial" w:hAnsi="Arial" w:cs="Times New Roman"/>
          <w:color w:val="000000"/>
          <w:sz w:val="24"/>
          <w:szCs w:val="24"/>
        </w:rPr>
        <w:t>D</w:t>
      </w:r>
      <w:r w:rsidR="0006651D">
        <w:rPr>
          <w:rFonts w:ascii="Arial" w:hAnsi="Arial" w:cs="Times New Roman"/>
          <w:color w:val="000000"/>
          <w:sz w:val="24"/>
          <w:szCs w:val="24"/>
        </w:rPr>
        <w:t>ies</w:t>
      </w:r>
      <w:r w:rsidRPr="00225A23">
        <w:rPr>
          <w:rFonts w:ascii="Arial" w:hAnsi="Arial" w:cs="Times New Roman"/>
          <w:color w:val="000000"/>
          <w:sz w:val="24"/>
          <w:szCs w:val="24"/>
        </w:rPr>
        <w:t>em neue</w:t>
      </w:r>
      <w:r w:rsidR="001C02C0">
        <w:rPr>
          <w:rFonts w:ascii="Arial" w:hAnsi="Arial" w:cs="Times New Roman"/>
          <w:color w:val="000000"/>
          <w:sz w:val="24"/>
          <w:szCs w:val="24"/>
        </w:rPr>
        <w:t>n</w:t>
      </w:r>
      <w:r w:rsidRPr="00225A23">
        <w:rPr>
          <w:rFonts w:ascii="Arial" w:hAnsi="Arial" w:cs="Times New Roman"/>
          <w:color w:val="000000"/>
          <w:sz w:val="24"/>
          <w:szCs w:val="24"/>
        </w:rPr>
        <w:t xml:space="preserve"> EU-Bankenregulierungspaket</w:t>
      </w:r>
      <w:r w:rsidR="00A422CC">
        <w:rPr>
          <w:rFonts w:ascii="Arial" w:hAnsi="Arial" w:cs="Times New Roman"/>
          <w:color w:val="000000"/>
          <w:sz w:val="24"/>
          <w:szCs w:val="24"/>
        </w:rPr>
        <w:t xml:space="preserve"> </w:t>
      </w:r>
      <w:r w:rsidRPr="00225A23">
        <w:rPr>
          <w:rFonts w:ascii="Arial" w:hAnsi="Arial" w:cs="Times New Roman"/>
          <w:color w:val="000000"/>
          <w:sz w:val="24"/>
          <w:szCs w:val="24"/>
        </w:rPr>
        <w:t>liegen die Empfehlungen des Basler Ausschusses für Bankenaufsicht von 2009 („</w:t>
      </w:r>
      <w:r w:rsidRPr="00225A23">
        <w:rPr>
          <w:rFonts w:ascii="Arial" w:hAnsi="Arial" w:cs="Times New Roman"/>
          <w:b/>
          <w:color w:val="000000"/>
          <w:sz w:val="24"/>
          <w:szCs w:val="24"/>
        </w:rPr>
        <w:t>Basel III“</w:t>
      </w:r>
      <w:r w:rsidRPr="00225A23">
        <w:rPr>
          <w:rFonts w:ascii="Arial" w:hAnsi="Arial" w:cs="Times New Roman"/>
          <w:color w:val="000000"/>
          <w:sz w:val="24"/>
          <w:szCs w:val="24"/>
        </w:rPr>
        <w:t xml:space="preserve">) zugrunde, </w:t>
      </w:r>
      <w:r w:rsidR="0006651D">
        <w:rPr>
          <w:rFonts w:ascii="Arial" w:hAnsi="Arial" w:cs="Times New Roman"/>
          <w:color w:val="000000"/>
          <w:sz w:val="24"/>
          <w:szCs w:val="24"/>
        </w:rPr>
        <w:t xml:space="preserve">teilweise geht es </w:t>
      </w:r>
      <w:r w:rsidRPr="00225A23">
        <w:rPr>
          <w:rFonts w:ascii="Arial" w:hAnsi="Arial" w:cs="Times New Roman"/>
          <w:color w:val="000000"/>
          <w:sz w:val="24"/>
          <w:szCs w:val="24"/>
        </w:rPr>
        <w:t xml:space="preserve">aber in einigen wesentlichen Aspekten (z.B. Transparenzvorschriften, </w:t>
      </w:r>
      <w:r w:rsidR="004E3FF2">
        <w:rPr>
          <w:rFonts w:ascii="Arial" w:hAnsi="Arial" w:cs="Times New Roman"/>
          <w:color w:val="000000"/>
          <w:sz w:val="24"/>
          <w:szCs w:val="24"/>
        </w:rPr>
        <w:t xml:space="preserve">Limitierung der </w:t>
      </w:r>
      <w:r w:rsidRPr="00225A23">
        <w:rPr>
          <w:rFonts w:ascii="Arial" w:hAnsi="Arial" w:cs="Times New Roman"/>
          <w:color w:val="000000"/>
          <w:sz w:val="24"/>
          <w:szCs w:val="24"/>
        </w:rPr>
        <w:t>Bankerboni) über die internationalen Basel III-Standards hinaus.</w:t>
      </w:r>
    </w:p>
    <w:p w:rsidR="008D47F3" w:rsidRDefault="008D47F3" w:rsidP="008D47F3">
      <w:pPr>
        <w:spacing w:after="120"/>
        <w:jc w:val="both"/>
        <w:rPr>
          <w:color w:val="000000"/>
          <w:sz w:val="24"/>
          <w:szCs w:val="24"/>
        </w:rPr>
      </w:pPr>
    </w:p>
    <w:p w:rsidR="008D47F3" w:rsidRDefault="00225A23" w:rsidP="008D47F3">
      <w:pPr>
        <w:spacing w:after="120"/>
        <w:jc w:val="both"/>
        <w:rPr>
          <w:rFonts w:ascii="Arial" w:hAnsi="Arial" w:cs="Times New Roman"/>
          <w:b/>
          <w:color w:val="548DD4"/>
          <w:sz w:val="24"/>
          <w:szCs w:val="24"/>
        </w:rPr>
      </w:pPr>
      <w:r w:rsidRPr="00225A23">
        <w:rPr>
          <w:rFonts w:ascii="Arial" w:hAnsi="Arial" w:cs="Times New Roman"/>
          <w:b/>
          <w:color w:val="548DD4"/>
          <w:sz w:val="24"/>
          <w:szCs w:val="24"/>
        </w:rPr>
        <w:t xml:space="preserve">Welche Änderungen bringt das neue </w:t>
      </w:r>
      <w:r w:rsidR="004E3FF2">
        <w:rPr>
          <w:rFonts w:ascii="Arial" w:hAnsi="Arial" w:cs="Times New Roman"/>
          <w:b/>
          <w:color w:val="548DD4"/>
          <w:sz w:val="24"/>
          <w:szCs w:val="24"/>
        </w:rPr>
        <w:t>EU-B</w:t>
      </w:r>
      <w:r w:rsidRPr="00225A23">
        <w:rPr>
          <w:rFonts w:ascii="Arial" w:hAnsi="Arial" w:cs="Times New Roman"/>
          <w:b/>
          <w:color w:val="548DD4"/>
          <w:sz w:val="24"/>
          <w:szCs w:val="24"/>
        </w:rPr>
        <w:t>ankenregulierun</w:t>
      </w:r>
      <w:r w:rsidR="004E3FF2">
        <w:rPr>
          <w:rFonts w:ascii="Arial" w:hAnsi="Arial" w:cs="Times New Roman"/>
          <w:b/>
          <w:color w:val="548DD4"/>
          <w:sz w:val="24"/>
          <w:szCs w:val="24"/>
        </w:rPr>
        <w:t>g</w:t>
      </w:r>
      <w:r w:rsidRPr="00225A23">
        <w:rPr>
          <w:rFonts w:ascii="Arial" w:hAnsi="Arial" w:cs="Times New Roman"/>
          <w:b/>
          <w:color w:val="548DD4"/>
          <w:sz w:val="24"/>
          <w:szCs w:val="24"/>
        </w:rPr>
        <w:t xml:space="preserve">spaket für den </w:t>
      </w:r>
      <w:r w:rsidR="004E3FF2">
        <w:rPr>
          <w:rFonts w:ascii="Arial" w:hAnsi="Arial" w:cs="Times New Roman"/>
          <w:b/>
          <w:color w:val="548DD4"/>
          <w:sz w:val="24"/>
          <w:szCs w:val="24"/>
        </w:rPr>
        <w:t>eur</w:t>
      </w:r>
      <w:r w:rsidRPr="00225A23">
        <w:rPr>
          <w:rFonts w:ascii="Arial" w:hAnsi="Arial" w:cs="Times New Roman"/>
          <w:b/>
          <w:color w:val="548DD4"/>
          <w:sz w:val="24"/>
          <w:szCs w:val="24"/>
        </w:rPr>
        <w:t>op</w:t>
      </w:r>
      <w:r w:rsidR="004E3FF2">
        <w:rPr>
          <w:rFonts w:ascii="Arial" w:hAnsi="Arial" w:cs="Times New Roman"/>
          <w:b/>
          <w:color w:val="548DD4"/>
          <w:sz w:val="24"/>
          <w:szCs w:val="24"/>
        </w:rPr>
        <w:t>äischen</w:t>
      </w:r>
      <w:r w:rsidRPr="00225A23">
        <w:rPr>
          <w:rFonts w:ascii="Arial" w:hAnsi="Arial" w:cs="Times New Roman"/>
          <w:b/>
          <w:color w:val="548DD4"/>
          <w:sz w:val="24"/>
          <w:szCs w:val="24"/>
        </w:rPr>
        <w:t xml:space="preserve"> Bankensektor?</w:t>
      </w:r>
    </w:p>
    <w:p w:rsidR="00225A23" w:rsidRPr="00225A23" w:rsidRDefault="00225A23" w:rsidP="008D47F3">
      <w:pPr>
        <w:spacing w:after="120"/>
        <w:jc w:val="both"/>
        <w:rPr>
          <w:color w:val="000000"/>
          <w:sz w:val="24"/>
          <w:szCs w:val="24"/>
        </w:rPr>
      </w:pPr>
      <w:r w:rsidRPr="00225A23">
        <w:rPr>
          <w:rFonts w:ascii="Arial" w:hAnsi="Arial" w:cs="Times New Roman"/>
          <w:color w:val="000000"/>
          <w:sz w:val="24"/>
          <w:szCs w:val="24"/>
        </w:rPr>
        <w:t xml:space="preserve">Das Maßnahmenpaket </w:t>
      </w:r>
      <w:r w:rsidR="008D47F3">
        <w:rPr>
          <w:rFonts w:ascii="Arial" w:hAnsi="Arial" w:cs="Times New Roman"/>
          <w:color w:val="000000"/>
          <w:sz w:val="24"/>
          <w:szCs w:val="24"/>
        </w:rPr>
        <w:t xml:space="preserve">- </w:t>
      </w:r>
      <w:r w:rsidRPr="00225A23">
        <w:rPr>
          <w:rFonts w:ascii="Arial" w:hAnsi="Arial" w:cs="Times New Roman"/>
          <w:color w:val="000000"/>
          <w:sz w:val="24"/>
          <w:szCs w:val="24"/>
        </w:rPr>
        <w:t xml:space="preserve">bestehend aus einer Richtlinie </w:t>
      </w:r>
      <w:r w:rsidR="00A422CC">
        <w:rPr>
          <w:rFonts w:ascii="Arial" w:hAnsi="Arial" w:cs="Times New Roman"/>
          <w:color w:val="000000"/>
          <w:sz w:val="24"/>
          <w:szCs w:val="24"/>
        </w:rPr>
        <w:t xml:space="preserve">(CRD IV) </w:t>
      </w:r>
      <w:r w:rsidRPr="00225A23">
        <w:rPr>
          <w:rFonts w:ascii="Arial" w:hAnsi="Arial" w:cs="Times New Roman"/>
          <w:color w:val="000000"/>
          <w:sz w:val="24"/>
          <w:szCs w:val="24"/>
        </w:rPr>
        <w:t xml:space="preserve">über die Zulassung zum Einlagengeschäft und einer Verordnung </w:t>
      </w:r>
      <w:r w:rsidR="00A422CC">
        <w:rPr>
          <w:rFonts w:ascii="Arial" w:hAnsi="Arial" w:cs="Times New Roman"/>
          <w:color w:val="000000"/>
          <w:sz w:val="24"/>
          <w:szCs w:val="24"/>
        </w:rPr>
        <w:t xml:space="preserve">(CRR I) </w:t>
      </w:r>
      <w:r w:rsidRPr="00225A23">
        <w:rPr>
          <w:rFonts w:ascii="Arial" w:hAnsi="Arial" w:cs="Times New Roman"/>
          <w:color w:val="000000"/>
          <w:sz w:val="24"/>
          <w:szCs w:val="24"/>
        </w:rPr>
        <w:t>zur Regelung der Tätigkeit der Kredi</w:t>
      </w:r>
      <w:r w:rsidR="008D47F3">
        <w:rPr>
          <w:rFonts w:ascii="Arial" w:hAnsi="Arial" w:cs="Times New Roman"/>
          <w:color w:val="000000"/>
          <w:sz w:val="24"/>
          <w:szCs w:val="24"/>
        </w:rPr>
        <w:t>tinstitute und Wertpapierfirmen</w:t>
      </w:r>
      <w:r w:rsidRPr="00225A23">
        <w:rPr>
          <w:rFonts w:ascii="Arial" w:hAnsi="Arial" w:cs="Times New Roman"/>
          <w:color w:val="000000"/>
          <w:sz w:val="24"/>
          <w:szCs w:val="24"/>
        </w:rPr>
        <w:t xml:space="preserve"> </w:t>
      </w:r>
      <w:r w:rsidR="008D47F3">
        <w:rPr>
          <w:rFonts w:ascii="Arial" w:hAnsi="Arial" w:cs="Times New Roman"/>
          <w:color w:val="000000"/>
          <w:sz w:val="24"/>
          <w:szCs w:val="24"/>
        </w:rPr>
        <w:t xml:space="preserve">- </w:t>
      </w:r>
      <w:r w:rsidRPr="00225A23">
        <w:rPr>
          <w:rFonts w:ascii="Arial" w:hAnsi="Arial" w:cs="Times New Roman"/>
          <w:color w:val="000000"/>
          <w:sz w:val="24"/>
          <w:szCs w:val="24"/>
        </w:rPr>
        <w:t>soll die bisher gültigen EU-Richtlinien zur Kapitalausstattung von Banken aus dem Jahr 2006 ersetzen. Beide Rechtsakte sehen u.a. folgende Änderungen vor:</w:t>
      </w:r>
    </w:p>
    <w:p w:rsidR="00E63FD6" w:rsidRPr="00E63FD6" w:rsidRDefault="00225A23" w:rsidP="00E63FD6">
      <w:pPr>
        <w:pStyle w:val="StandardWeb"/>
        <w:numPr>
          <w:ilvl w:val="0"/>
          <w:numId w:val="1"/>
        </w:numPr>
        <w:spacing w:after="120"/>
        <w:ind w:left="567" w:hanging="567"/>
        <w:jc w:val="both"/>
        <w:rPr>
          <w:rFonts w:ascii="Arial" w:hAnsi="Arial" w:cs="Arial"/>
          <w:color w:val="000000"/>
          <w:sz w:val="24"/>
          <w:szCs w:val="24"/>
        </w:rPr>
      </w:pPr>
      <w:r w:rsidRPr="00E63FD6">
        <w:rPr>
          <w:rFonts w:ascii="Arial" w:hAnsi="Arial" w:cs="Arial"/>
          <w:b/>
          <w:color w:val="000000"/>
          <w:sz w:val="24"/>
          <w:szCs w:val="24"/>
        </w:rPr>
        <w:t>Erhöhung des Eigenkapitals</w:t>
      </w:r>
      <w:r w:rsidRPr="00E63FD6">
        <w:rPr>
          <w:rFonts w:ascii="Arial" w:hAnsi="Arial"/>
          <w:color w:val="000000"/>
          <w:sz w:val="24"/>
          <w:szCs w:val="24"/>
        </w:rPr>
        <w:t xml:space="preserve"> </w:t>
      </w:r>
      <w:r w:rsidR="008D47F3" w:rsidRPr="00E63FD6">
        <w:rPr>
          <w:rFonts w:ascii="Arial" w:hAnsi="Arial"/>
          <w:color w:val="000000"/>
          <w:sz w:val="24"/>
          <w:szCs w:val="24"/>
        </w:rPr>
        <w:t xml:space="preserve">der Banken </w:t>
      </w:r>
      <w:r w:rsidR="00921F17" w:rsidRPr="00E63FD6">
        <w:rPr>
          <w:rFonts w:ascii="Arial" w:hAnsi="Arial"/>
          <w:color w:val="000000"/>
          <w:sz w:val="24"/>
          <w:szCs w:val="24"/>
        </w:rPr>
        <w:t xml:space="preserve">bis 2019 von </w:t>
      </w:r>
      <w:r w:rsidR="0017656F" w:rsidRPr="00E63FD6">
        <w:rPr>
          <w:rFonts w:ascii="Arial" w:hAnsi="Arial"/>
          <w:color w:val="000000"/>
          <w:sz w:val="24"/>
          <w:szCs w:val="24"/>
        </w:rPr>
        <w:t>8%</w:t>
      </w:r>
      <w:r w:rsidR="00921F17" w:rsidRPr="00E63FD6">
        <w:rPr>
          <w:rFonts w:ascii="Arial" w:hAnsi="Arial"/>
          <w:color w:val="000000"/>
          <w:sz w:val="24"/>
          <w:szCs w:val="24"/>
        </w:rPr>
        <w:t xml:space="preserve"> </w:t>
      </w:r>
      <w:r w:rsidRPr="00E63FD6">
        <w:rPr>
          <w:rFonts w:ascii="Arial" w:hAnsi="Arial"/>
          <w:color w:val="000000"/>
          <w:sz w:val="24"/>
          <w:szCs w:val="24"/>
        </w:rPr>
        <w:t>auf insgesamt 10,5%</w:t>
      </w:r>
      <w:r w:rsidR="008D47F3" w:rsidRPr="00E63FD6">
        <w:rPr>
          <w:rFonts w:ascii="Arial" w:hAnsi="Arial"/>
          <w:color w:val="000000"/>
          <w:sz w:val="24"/>
          <w:szCs w:val="24"/>
        </w:rPr>
        <w:t xml:space="preserve"> wovon</w:t>
      </w:r>
      <w:r w:rsidR="00921F17" w:rsidRPr="00E63FD6">
        <w:rPr>
          <w:rFonts w:ascii="Arial" w:hAnsi="Arial"/>
          <w:color w:val="000000"/>
          <w:sz w:val="24"/>
          <w:szCs w:val="24"/>
        </w:rPr>
        <w:t xml:space="preserve"> fortan 4,5% statt wie bislang 2% an hartem Kernkapital vorhanden sein müssen. </w:t>
      </w:r>
      <w:r w:rsidR="00C04E5D" w:rsidRPr="00C84B22">
        <w:rPr>
          <w:rFonts w:ascii="Arial" w:hAnsi="Arial"/>
          <w:color w:val="000000"/>
          <w:sz w:val="24"/>
          <w:szCs w:val="24"/>
        </w:rPr>
        <w:t xml:space="preserve">Als hartes </w:t>
      </w:r>
      <w:r w:rsidR="00A422CC" w:rsidRPr="00C84B22">
        <w:rPr>
          <w:rFonts w:ascii="Arial" w:hAnsi="Arial"/>
          <w:color w:val="000000"/>
          <w:sz w:val="24"/>
          <w:szCs w:val="24"/>
        </w:rPr>
        <w:t xml:space="preserve">oder „erstklassiges“ </w:t>
      </w:r>
      <w:r w:rsidR="00C04E5D" w:rsidRPr="00C84B22">
        <w:rPr>
          <w:rFonts w:ascii="Arial" w:hAnsi="Arial"/>
          <w:color w:val="000000"/>
          <w:sz w:val="24"/>
          <w:szCs w:val="24"/>
        </w:rPr>
        <w:t>Kernkapital werden</w:t>
      </w:r>
      <w:r w:rsidR="00921F17" w:rsidRPr="00C84B22">
        <w:rPr>
          <w:rFonts w:ascii="Arial" w:hAnsi="Arial"/>
          <w:color w:val="000000"/>
          <w:sz w:val="24"/>
          <w:szCs w:val="24"/>
        </w:rPr>
        <w:t xml:space="preserve"> dauerhaft zur Verf</w:t>
      </w:r>
      <w:r w:rsidR="00162D6F" w:rsidRPr="00C84B22">
        <w:rPr>
          <w:rFonts w:ascii="Arial" w:hAnsi="Arial"/>
          <w:color w:val="000000"/>
          <w:sz w:val="24"/>
          <w:szCs w:val="24"/>
        </w:rPr>
        <w:t>ügung stehende Eigenmittel der Banken</w:t>
      </w:r>
      <w:r w:rsidR="00C04E5D" w:rsidRPr="00C84B22">
        <w:rPr>
          <w:rFonts w:ascii="Arial" w:hAnsi="Arial"/>
          <w:color w:val="000000"/>
          <w:sz w:val="24"/>
          <w:szCs w:val="24"/>
        </w:rPr>
        <w:t>, also Eigenkapital und Rücklagen, bezeichnet</w:t>
      </w:r>
      <w:r w:rsidR="00921F17" w:rsidRPr="00C84B22">
        <w:rPr>
          <w:rFonts w:ascii="Arial" w:hAnsi="Arial"/>
          <w:color w:val="000000"/>
          <w:sz w:val="24"/>
          <w:szCs w:val="24"/>
        </w:rPr>
        <w:t>.</w:t>
      </w:r>
      <w:r w:rsidR="00921F17" w:rsidRPr="00E63FD6">
        <w:rPr>
          <w:rFonts w:ascii="Arial" w:hAnsi="Arial"/>
          <w:color w:val="000000"/>
          <w:sz w:val="24"/>
          <w:szCs w:val="24"/>
        </w:rPr>
        <w:t xml:space="preserve"> </w:t>
      </w:r>
    </w:p>
    <w:p w:rsidR="00A422CC" w:rsidRDefault="00A422CC" w:rsidP="008D47F3">
      <w:pPr>
        <w:pStyle w:val="StandardWeb"/>
        <w:numPr>
          <w:ilvl w:val="0"/>
          <w:numId w:val="1"/>
        </w:numPr>
        <w:spacing w:after="120"/>
        <w:ind w:left="567" w:hanging="567"/>
        <w:jc w:val="both"/>
        <w:rPr>
          <w:rFonts w:ascii="Arial" w:hAnsi="Arial" w:cs="Arial"/>
          <w:color w:val="000000"/>
          <w:sz w:val="24"/>
          <w:szCs w:val="24"/>
        </w:rPr>
      </w:pPr>
      <w:r w:rsidRPr="00E63FD6">
        <w:rPr>
          <w:rFonts w:ascii="Arial" w:hAnsi="Arial" w:cs="Arial"/>
          <w:b/>
          <w:color w:val="000000"/>
          <w:sz w:val="24"/>
          <w:szCs w:val="24"/>
        </w:rPr>
        <w:t>Zusätzlich</w:t>
      </w:r>
      <w:r w:rsidR="00AD6E66" w:rsidRPr="00E63FD6">
        <w:rPr>
          <w:rFonts w:ascii="Arial" w:hAnsi="Arial" w:cs="Arial"/>
          <w:b/>
          <w:color w:val="000000"/>
          <w:sz w:val="24"/>
          <w:szCs w:val="24"/>
        </w:rPr>
        <w:t>e</w:t>
      </w:r>
      <w:r w:rsidRPr="00E63FD6">
        <w:rPr>
          <w:rFonts w:ascii="Arial" w:hAnsi="Arial" w:cs="Arial"/>
          <w:b/>
          <w:color w:val="000000"/>
          <w:sz w:val="24"/>
          <w:szCs w:val="24"/>
        </w:rPr>
        <w:t xml:space="preserve"> Eigenkapitalreserven</w:t>
      </w:r>
      <w:r w:rsidR="00AD6E66">
        <w:rPr>
          <w:rFonts w:ascii="Arial" w:hAnsi="Arial" w:cs="Arial"/>
          <w:color w:val="000000"/>
          <w:sz w:val="24"/>
          <w:szCs w:val="24"/>
        </w:rPr>
        <w:t>, die in Form von Kapitalpuffern für unerwartete Krisen anzulegen sind</w:t>
      </w:r>
      <w:r w:rsidR="00F25F49">
        <w:rPr>
          <w:rFonts w:ascii="Arial" w:hAnsi="Arial" w:cs="Arial"/>
          <w:color w:val="000000"/>
          <w:sz w:val="24"/>
          <w:szCs w:val="24"/>
        </w:rPr>
        <w:t>.</w:t>
      </w:r>
    </w:p>
    <w:p w:rsidR="00225A23" w:rsidRPr="00225A23" w:rsidRDefault="00225A23" w:rsidP="008D47F3">
      <w:pPr>
        <w:pStyle w:val="StandardWeb"/>
        <w:numPr>
          <w:ilvl w:val="0"/>
          <w:numId w:val="1"/>
        </w:numPr>
        <w:spacing w:after="120"/>
        <w:ind w:left="567" w:hanging="567"/>
        <w:jc w:val="both"/>
        <w:rPr>
          <w:rFonts w:ascii="Arial" w:hAnsi="Arial" w:cs="Arial"/>
          <w:color w:val="000000"/>
          <w:sz w:val="24"/>
          <w:szCs w:val="24"/>
        </w:rPr>
      </w:pPr>
      <w:r w:rsidRPr="00225A23">
        <w:rPr>
          <w:rFonts w:ascii="Arial" w:hAnsi="Arial" w:cs="Arial"/>
          <w:b/>
          <w:color w:val="000000"/>
          <w:sz w:val="24"/>
          <w:szCs w:val="24"/>
        </w:rPr>
        <w:t>EU-weit</w:t>
      </w:r>
      <w:r w:rsidR="00AD6E66">
        <w:rPr>
          <w:rFonts w:ascii="Arial" w:hAnsi="Arial" w:cs="Arial"/>
          <w:b/>
          <w:color w:val="000000"/>
          <w:sz w:val="24"/>
          <w:szCs w:val="24"/>
        </w:rPr>
        <w:t>e</w:t>
      </w:r>
      <w:r w:rsidRPr="00225A23">
        <w:rPr>
          <w:rFonts w:ascii="Arial" w:hAnsi="Arial" w:cs="Arial"/>
          <w:b/>
          <w:color w:val="000000"/>
          <w:sz w:val="24"/>
          <w:szCs w:val="24"/>
        </w:rPr>
        <w:t xml:space="preserve"> Liquiditätsvorschriften:</w:t>
      </w:r>
      <w:r w:rsidRPr="00225A23">
        <w:rPr>
          <w:rFonts w:ascii="Arial" w:hAnsi="Arial" w:cs="Arial"/>
          <w:color w:val="000000"/>
          <w:sz w:val="24"/>
          <w:szCs w:val="24"/>
        </w:rPr>
        <w:t xml:space="preserve"> </w:t>
      </w:r>
      <w:r w:rsidR="00AD6E66">
        <w:rPr>
          <w:rFonts w:ascii="Arial" w:hAnsi="Arial" w:cs="Arial"/>
          <w:color w:val="000000"/>
          <w:sz w:val="24"/>
          <w:szCs w:val="24"/>
        </w:rPr>
        <w:t>D</w:t>
      </w:r>
      <w:r w:rsidR="004E3FF2">
        <w:rPr>
          <w:rFonts w:ascii="Arial" w:hAnsi="Arial" w:cs="Arial"/>
          <w:color w:val="000000"/>
          <w:sz w:val="24"/>
          <w:szCs w:val="24"/>
        </w:rPr>
        <w:t xml:space="preserve">ie </w:t>
      </w:r>
      <w:r w:rsidRPr="00225A23">
        <w:rPr>
          <w:rFonts w:ascii="Arial" w:hAnsi="Arial" w:cs="Arial"/>
          <w:color w:val="000000"/>
          <w:sz w:val="24"/>
          <w:szCs w:val="24"/>
        </w:rPr>
        <w:t xml:space="preserve">Finanzkrise hat gezeigt, dass </w:t>
      </w:r>
      <w:r w:rsidR="004E3FF2">
        <w:rPr>
          <w:rFonts w:ascii="Arial" w:hAnsi="Arial" w:cs="Arial"/>
          <w:color w:val="000000"/>
          <w:sz w:val="24"/>
          <w:szCs w:val="24"/>
        </w:rPr>
        <w:t>ausreichende</w:t>
      </w:r>
      <w:r w:rsidRPr="00225A23">
        <w:rPr>
          <w:rFonts w:ascii="Arial" w:hAnsi="Arial" w:cs="Arial"/>
          <w:color w:val="000000"/>
          <w:sz w:val="24"/>
          <w:szCs w:val="24"/>
        </w:rPr>
        <w:t xml:space="preserve"> Liquidität</w:t>
      </w:r>
      <w:r w:rsidR="0042198E">
        <w:rPr>
          <w:rFonts w:ascii="Arial" w:hAnsi="Arial" w:cs="Arial"/>
          <w:color w:val="000000"/>
          <w:sz w:val="24"/>
          <w:szCs w:val="24"/>
        </w:rPr>
        <w:t xml:space="preserve"> - also die laufende Verfügbarkeit der Geldmittel der Banken - </w:t>
      </w:r>
      <w:r w:rsidRPr="00225A23">
        <w:rPr>
          <w:rFonts w:ascii="Arial" w:hAnsi="Arial" w:cs="Arial"/>
          <w:color w:val="000000"/>
          <w:sz w:val="24"/>
          <w:szCs w:val="24"/>
        </w:rPr>
        <w:t xml:space="preserve">entscheidend für das Funktionieren der Märkte und des Bankensektors ist. </w:t>
      </w:r>
    </w:p>
    <w:p w:rsidR="00225A23" w:rsidRPr="00225A23" w:rsidRDefault="00225A23" w:rsidP="008D47F3">
      <w:pPr>
        <w:pStyle w:val="StandardWeb"/>
        <w:numPr>
          <w:ilvl w:val="0"/>
          <w:numId w:val="1"/>
        </w:numPr>
        <w:spacing w:after="120"/>
        <w:ind w:left="567" w:hanging="567"/>
        <w:jc w:val="both"/>
        <w:rPr>
          <w:rFonts w:ascii="Arial" w:hAnsi="Arial" w:cs="Arial"/>
          <w:color w:val="000000"/>
          <w:sz w:val="24"/>
          <w:szCs w:val="24"/>
        </w:rPr>
      </w:pPr>
      <w:r w:rsidRPr="00225A23">
        <w:rPr>
          <w:rFonts w:ascii="Arial" w:hAnsi="Arial"/>
          <w:b/>
          <w:color w:val="000000"/>
          <w:sz w:val="24"/>
          <w:szCs w:val="24"/>
        </w:rPr>
        <w:t>Harmonisierung des Bankenaufsichtsrechts</w:t>
      </w:r>
      <w:r w:rsidR="00AD6E66">
        <w:rPr>
          <w:rFonts w:ascii="Arial" w:hAnsi="Arial"/>
          <w:b/>
          <w:color w:val="000000"/>
          <w:sz w:val="24"/>
          <w:szCs w:val="24"/>
        </w:rPr>
        <w:t xml:space="preserve"> </w:t>
      </w:r>
      <w:r w:rsidR="00AD6E66" w:rsidRPr="00E63FD6">
        <w:rPr>
          <w:rFonts w:ascii="Arial" w:hAnsi="Arial"/>
          <w:color w:val="000000"/>
          <w:sz w:val="24"/>
          <w:szCs w:val="24"/>
        </w:rPr>
        <w:t>mit der Möglichkeit der Verschärfung der Aufsichtsanforderungen durch die Mitglieds</w:t>
      </w:r>
      <w:r w:rsidR="00714535">
        <w:rPr>
          <w:rFonts w:ascii="Arial" w:hAnsi="Arial"/>
          <w:color w:val="000000"/>
          <w:sz w:val="24"/>
          <w:szCs w:val="24"/>
        </w:rPr>
        <w:t>st</w:t>
      </w:r>
      <w:r w:rsidR="00AD6E66" w:rsidRPr="00E63FD6">
        <w:rPr>
          <w:rFonts w:ascii="Arial" w:hAnsi="Arial"/>
          <w:color w:val="000000"/>
          <w:sz w:val="24"/>
          <w:szCs w:val="24"/>
        </w:rPr>
        <w:t>aaten</w:t>
      </w:r>
      <w:r w:rsidR="00FB352B" w:rsidRPr="00C83C98">
        <w:rPr>
          <w:rFonts w:ascii="Arial" w:hAnsi="Arial"/>
          <w:color w:val="000000"/>
          <w:sz w:val="24"/>
          <w:szCs w:val="24"/>
        </w:rPr>
        <w:t>:</w:t>
      </w:r>
      <w:r w:rsidRPr="00225A23">
        <w:rPr>
          <w:rFonts w:ascii="Arial" w:hAnsi="Arial"/>
          <w:color w:val="000000"/>
          <w:sz w:val="24"/>
          <w:szCs w:val="24"/>
        </w:rPr>
        <w:t xml:space="preserve"> </w:t>
      </w:r>
      <w:r w:rsidR="005F30C4">
        <w:rPr>
          <w:rFonts w:ascii="Arial" w:hAnsi="Arial"/>
          <w:color w:val="000000"/>
          <w:sz w:val="24"/>
          <w:szCs w:val="24"/>
        </w:rPr>
        <w:t xml:space="preserve">dass für Kreditinstitute und Wertpapierfirmen dieselben Aufsichtsvorschriften gelten, ist </w:t>
      </w:r>
      <w:r w:rsidR="005F30C4">
        <w:rPr>
          <w:rFonts w:ascii="Arial" w:hAnsi="Arial"/>
          <w:color w:val="000000"/>
          <w:sz w:val="24"/>
          <w:szCs w:val="24"/>
        </w:rPr>
        <w:lastRenderedPageBreak/>
        <w:t xml:space="preserve">für das Funktionieren des Binnenmarkts von zentraler Bedeutung und ist </w:t>
      </w:r>
      <w:r w:rsidRPr="00225A23">
        <w:rPr>
          <w:rFonts w:ascii="Arial" w:hAnsi="Arial"/>
          <w:color w:val="000000"/>
          <w:sz w:val="24"/>
          <w:szCs w:val="24"/>
        </w:rPr>
        <w:t xml:space="preserve">auch Voraussetzung für die </w:t>
      </w:r>
      <w:r w:rsidR="005F30C4" w:rsidRPr="00225A23">
        <w:rPr>
          <w:rFonts w:ascii="Arial" w:hAnsi="Arial"/>
          <w:color w:val="000000"/>
          <w:sz w:val="24"/>
          <w:szCs w:val="24"/>
        </w:rPr>
        <w:t xml:space="preserve">Schaffung </w:t>
      </w:r>
      <w:r w:rsidR="005F30C4">
        <w:rPr>
          <w:rFonts w:ascii="Arial" w:hAnsi="Arial"/>
          <w:color w:val="000000"/>
          <w:sz w:val="24"/>
          <w:szCs w:val="24"/>
        </w:rPr>
        <w:t>der</w:t>
      </w:r>
      <w:r w:rsidRPr="00225A23">
        <w:rPr>
          <w:rFonts w:ascii="Arial" w:hAnsi="Arial"/>
          <w:color w:val="000000"/>
          <w:sz w:val="24"/>
          <w:szCs w:val="24"/>
        </w:rPr>
        <w:t xml:space="preserve"> </w:t>
      </w:r>
      <w:r w:rsidR="0042198E">
        <w:rPr>
          <w:rFonts w:ascii="Arial" w:hAnsi="Arial"/>
          <w:color w:val="000000"/>
          <w:sz w:val="24"/>
          <w:szCs w:val="24"/>
        </w:rPr>
        <w:t>derzeit in Verhandlung stehenden Bankenunion.</w:t>
      </w:r>
    </w:p>
    <w:p w:rsidR="00225A23" w:rsidRPr="00C17BD3" w:rsidRDefault="00225A23" w:rsidP="008D47F3">
      <w:pPr>
        <w:pStyle w:val="StandardWeb"/>
        <w:numPr>
          <w:ilvl w:val="0"/>
          <w:numId w:val="1"/>
        </w:numPr>
        <w:spacing w:after="120"/>
        <w:ind w:left="567" w:hanging="567"/>
        <w:jc w:val="both"/>
        <w:rPr>
          <w:color w:val="000000"/>
          <w:sz w:val="24"/>
          <w:szCs w:val="24"/>
        </w:rPr>
      </w:pPr>
      <w:r w:rsidRPr="00225A23">
        <w:rPr>
          <w:rFonts w:ascii="Arial" w:hAnsi="Arial" w:cs="Arial"/>
          <w:color w:val="000000"/>
          <w:sz w:val="24"/>
          <w:szCs w:val="24"/>
        </w:rPr>
        <w:t>Erhöhte</w:t>
      </w:r>
      <w:r w:rsidRPr="00225A23">
        <w:rPr>
          <w:rFonts w:ascii="Arial" w:hAnsi="Arial"/>
          <w:color w:val="000000"/>
          <w:sz w:val="24"/>
          <w:szCs w:val="24"/>
        </w:rPr>
        <w:t xml:space="preserve"> Transparenz gegenüber den Märkten durch </w:t>
      </w:r>
      <w:r w:rsidRPr="00225A23">
        <w:rPr>
          <w:rFonts w:ascii="Arial" w:hAnsi="Arial"/>
          <w:b/>
          <w:color w:val="000000"/>
          <w:sz w:val="24"/>
          <w:szCs w:val="24"/>
        </w:rPr>
        <w:t>erweiterte Offenlegungsvorschriften</w:t>
      </w:r>
      <w:r w:rsidR="00CD5DA9">
        <w:rPr>
          <w:rFonts w:ascii="Arial" w:hAnsi="Arial"/>
          <w:color w:val="000000"/>
          <w:sz w:val="24"/>
          <w:szCs w:val="24"/>
        </w:rPr>
        <w:t>:</w:t>
      </w:r>
      <w:r w:rsidR="00E63FD6">
        <w:rPr>
          <w:rFonts w:ascii="Arial" w:hAnsi="Arial"/>
          <w:color w:val="000000"/>
          <w:sz w:val="24"/>
          <w:szCs w:val="24"/>
        </w:rPr>
        <w:t xml:space="preserve"> </w:t>
      </w:r>
      <w:r w:rsidR="00F52096" w:rsidRPr="00E63FD6">
        <w:rPr>
          <w:rFonts w:ascii="Arial" w:hAnsi="Arial"/>
          <w:color w:val="000000"/>
          <w:sz w:val="24"/>
          <w:szCs w:val="24"/>
        </w:rPr>
        <w:t>E</w:t>
      </w:r>
      <w:r w:rsidR="008D5EBA" w:rsidRPr="00E63FD6">
        <w:rPr>
          <w:rFonts w:ascii="Arial" w:hAnsi="Arial"/>
          <w:color w:val="000000"/>
          <w:sz w:val="24"/>
          <w:szCs w:val="24"/>
        </w:rPr>
        <w:t>uropäische</w:t>
      </w:r>
      <w:r w:rsidR="00FB352B" w:rsidRPr="00E63FD6">
        <w:rPr>
          <w:rFonts w:ascii="Arial" w:hAnsi="Arial"/>
          <w:color w:val="000000"/>
          <w:sz w:val="24"/>
          <w:szCs w:val="24"/>
        </w:rPr>
        <w:t xml:space="preserve"> Banken</w:t>
      </w:r>
      <w:r w:rsidR="00F52096" w:rsidRPr="00E63FD6">
        <w:rPr>
          <w:rFonts w:ascii="Arial" w:hAnsi="Arial"/>
          <w:color w:val="000000"/>
          <w:sz w:val="24"/>
          <w:szCs w:val="24"/>
        </w:rPr>
        <w:t>, die</w:t>
      </w:r>
      <w:r w:rsidR="008D5EBA" w:rsidRPr="00E63FD6">
        <w:rPr>
          <w:rFonts w:ascii="Arial" w:hAnsi="Arial"/>
          <w:color w:val="000000"/>
          <w:sz w:val="24"/>
          <w:szCs w:val="24"/>
        </w:rPr>
        <w:t xml:space="preserve"> aufgrund ihrer </w:t>
      </w:r>
      <w:r w:rsidR="00AD6E66" w:rsidRPr="00E63FD6">
        <w:rPr>
          <w:rFonts w:ascii="Arial" w:hAnsi="Arial"/>
          <w:color w:val="000000"/>
          <w:sz w:val="24"/>
          <w:szCs w:val="24"/>
        </w:rPr>
        <w:t>systemischen Bedeutung für das jeweilige</w:t>
      </w:r>
      <w:r w:rsidR="0006651D" w:rsidRPr="00E63FD6">
        <w:rPr>
          <w:rFonts w:ascii="Arial" w:hAnsi="Arial"/>
          <w:color w:val="000000"/>
          <w:sz w:val="24"/>
          <w:szCs w:val="24"/>
        </w:rPr>
        <w:t xml:space="preserve"> Land</w:t>
      </w:r>
      <w:r w:rsidR="00AD6E66" w:rsidRPr="00E63FD6">
        <w:rPr>
          <w:rFonts w:ascii="Arial" w:hAnsi="Arial"/>
          <w:color w:val="000000"/>
          <w:sz w:val="24"/>
          <w:szCs w:val="24"/>
        </w:rPr>
        <w:t xml:space="preserve"> </w:t>
      </w:r>
      <w:r w:rsidR="008D5EBA" w:rsidRPr="00E63FD6">
        <w:rPr>
          <w:rFonts w:ascii="Arial" w:hAnsi="Arial"/>
          <w:color w:val="000000"/>
          <w:sz w:val="24"/>
          <w:szCs w:val="24"/>
        </w:rPr>
        <w:t xml:space="preserve">und </w:t>
      </w:r>
      <w:r w:rsidR="00AD6E66" w:rsidRPr="00E63FD6">
        <w:rPr>
          <w:rFonts w:ascii="Arial" w:hAnsi="Arial"/>
          <w:color w:val="000000"/>
          <w:sz w:val="24"/>
          <w:szCs w:val="24"/>
        </w:rPr>
        <w:t xml:space="preserve">ihrer </w:t>
      </w:r>
      <w:r w:rsidR="008D5EBA" w:rsidRPr="00E63FD6">
        <w:rPr>
          <w:rFonts w:ascii="Arial" w:hAnsi="Arial"/>
          <w:color w:val="000000"/>
          <w:sz w:val="24"/>
          <w:szCs w:val="24"/>
        </w:rPr>
        <w:t xml:space="preserve">Marktvernetzung </w:t>
      </w:r>
      <w:r w:rsidR="00F52096" w:rsidRPr="00E63FD6">
        <w:rPr>
          <w:rFonts w:ascii="Arial" w:hAnsi="Arial"/>
          <w:color w:val="000000"/>
          <w:sz w:val="24"/>
          <w:szCs w:val="24"/>
        </w:rPr>
        <w:t xml:space="preserve">im Falle einer finanziellen Schieflage </w:t>
      </w:r>
      <w:r w:rsidR="008D5EBA" w:rsidRPr="00E63FD6">
        <w:rPr>
          <w:rFonts w:ascii="Arial" w:hAnsi="Arial"/>
          <w:color w:val="000000"/>
          <w:sz w:val="24"/>
          <w:szCs w:val="24"/>
        </w:rPr>
        <w:t>schw</w:t>
      </w:r>
      <w:r w:rsidR="00F52096" w:rsidRPr="00E63FD6">
        <w:rPr>
          <w:rFonts w:ascii="Arial" w:hAnsi="Arial"/>
          <w:color w:val="000000"/>
          <w:sz w:val="24"/>
          <w:szCs w:val="24"/>
        </w:rPr>
        <w:t>erwiegende negative Auswirkungen</w:t>
      </w:r>
      <w:r w:rsidR="008D5EBA" w:rsidRPr="00E63FD6">
        <w:rPr>
          <w:rFonts w:ascii="Arial" w:hAnsi="Arial"/>
          <w:color w:val="000000"/>
          <w:sz w:val="24"/>
          <w:szCs w:val="24"/>
        </w:rPr>
        <w:t xml:space="preserve"> auf den globalen F</w:t>
      </w:r>
      <w:r w:rsidR="00F52096" w:rsidRPr="00E63FD6">
        <w:rPr>
          <w:rFonts w:ascii="Arial" w:hAnsi="Arial"/>
          <w:color w:val="000000"/>
          <w:sz w:val="24"/>
          <w:szCs w:val="24"/>
        </w:rPr>
        <w:t>inanzmarkt auslösen würden</w:t>
      </w:r>
      <w:r w:rsidR="008D5EBA" w:rsidRPr="00E63FD6">
        <w:rPr>
          <w:rFonts w:ascii="Arial" w:hAnsi="Arial"/>
          <w:color w:val="000000"/>
          <w:sz w:val="24"/>
          <w:szCs w:val="24"/>
        </w:rPr>
        <w:t xml:space="preserve">, </w:t>
      </w:r>
      <w:r w:rsidR="00F52096" w:rsidRPr="00E63FD6">
        <w:rPr>
          <w:rFonts w:ascii="Arial" w:hAnsi="Arial"/>
          <w:color w:val="000000"/>
          <w:sz w:val="24"/>
          <w:szCs w:val="24"/>
        </w:rPr>
        <w:t>müssen</w:t>
      </w:r>
      <w:r w:rsidR="00FB352B" w:rsidRPr="00E63FD6">
        <w:rPr>
          <w:rFonts w:ascii="Arial" w:hAnsi="Arial"/>
          <w:color w:val="000000"/>
          <w:sz w:val="24"/>
          <w:szCs w:val="24"/>
        </w:rPr>
        <w:t xml:space="preserve"> ab 2015</w:t>
      </w:r>
      <w:r w:rsidR="0042198E" w:rsidRPr="00E63FD6">
        <w:rPr>
          <w:rFonts w:ascii="Arial" w:hAnsi="Arial"/>
          <w:color w:val="000000"/>
          <w:sz w:val="24"/>
          <w:szCs w:val="24"/>
        </w:rPr>
        <w:t xml:space="preserve"> </w:t>
      </w:r>
      <w:r w:rsidR="00FB352B" w:rsidRPr="00E63FD6">
        <w:rPr>
          <w:rFonts w:ascii="Arial" w:hAnsi="Arial"/>
          <w:color w:val="000000"/>
          <w:sz w:val="24"/>
          <w:szCs w:val="24"/>
        </w:rPr>
        <w:t xml:space="preserve">ihre jährlichen Profite, Steuerabgaben und Subventionen </w:t>
      </w:r>
      <w:r w:rsidR="0006651D" w:rsidRPr="00E63FD6">
        <w:rPr>
          <w:rFonts w:ascii="Arial" w:hAnsi="Arial"/>
          <w:color w:val="000000"/>
          <w:sz w:val="24"/>
          <w:szCs w:val="24"/>
        </w:rPr>
        <w:t xml:space="preserve">gegenüber der </w:t>
      </w:r>
      <w:r w:rsidR="00FB352B" w:rsidRPr="00E63FD6">
        <w:rPr>
          <w:rFonts w:ascii="Arial" w:hAnsi="Arial"/>
          <w:color w:val="000000"/>
          <w:sz w:val="24"/>
          <w:szCs w:val="24"/>
        </w:rPr>
        <w:t>Europäische</w:t>
      </w:r>
      <w:r w:rsidR="00C83C98">
        <w:rPr>
          <w:rFonts w:ascii="Arial" w:hAnsi="Arial"/>
          <w:color w:val="000000"/>
          <w:sz w:val="24"/>
          <w:szCs w:val="24"/>
        </w:rPr>
        <w:t>n</w:t>
      </w:r>
      <w:r w:rsidR="00FB352B" w:rsidRPr="00E63FD6">
        <w:rPr>
          <w:rFonts w:ascii="Arial" w:hAnsi="Arial"/>
          <w:color w:val="000000"/>
          <w:sz w:val="24"/>
          <w:szCs w:val="24"/>
        </w:rPr>
        <w:t xml:space="preserve"> Kommission offenlegen.</w:t>
      </w:r>
    </w:p>
    <w:p w:rsidR="00225A23" w:rsidRPr="00C17BD3" w:rsidRDefault="00225A23" w:rsidP="008D47F3">
      <w:pPr>
        <w:pStyle w:val="Listenabsatz"/>
        <w:numPr>
          <w:ilvl w:val="0"/>
          <w:numId w:val="1"/>
        </w:numPr>
        <w:spacing w:after="120"/>
        <w:ind w:left="567" w:hanging="567"/>
        <w:contextualSpacing w:val="0"/>
        <w:jc w:val="both"/>
        <w:rPr>
          <w:color w:val="000000"/>
        </w:rPr>
      </w:pPr>
      <w:r w:rsidRPr="00C17BD3">
        <w:rPr>
          <w:rFonts w:ascii="Arial" w:hAnsi="Arial" w:cs="Times New Roman"/>
          <w:b/>
          <w:color w:val="000000"/>
        </w:rPr>
        <w:t xml:space="preserve">Deckelung der Bankenmanagergehälter </w:t>
      </w:r>
      <w:r w:rsidRPr="00C17BD3">
        <w:rPr>
          <w:rFonts w:ascii="Arial" w:hAnsi="Arial" w:cs="Times New Roman"/>
          <w:color w:val="000000"/>
        </w:rPr>
        <w:t>(Boni-Regelung)</w:t>
      </w:r>
      <w:r w:rsidR="0042198E" w:rsidRPr="00C17BD3">
        <w:rPr>
          <w:rFonts w:ascii="Arial" w:hAnsi="Arial" w:cs="Times New Roman"/>
          <w:color w:val="000000"/>
        </w:rPr>
        <w:t xml:space="preserve">: </w:t>
      </w:r>
      <w:r w:rsidR="00C17BD3" w:rsidRPr="00C17BD3">
        <w:rPr>
          <w:rFonts w:ascii="Arial" w:hAnsi="Arial" w:cs="Times New Roman"/>
          <w:color w:val="000000"/>
        </w:rPr>
        <w:t xml:space="preserve">Das Paket beinhaltet strikte Regelungen für die Bonuszahlungen an Entscheidungsträger im Finanzsektor. </w:t>
      </w:r>
      <w:r w:rsidR="0006651D">
        <w:rPr>
          <w:rFonts w:ascii="Arial" w:hAnsi="Arial" w:cs="Times New Roman"/>
          <w:color w:val="000000"/>
        </w:rPr>
        <w:t xml:space="preserve">Als Grundregel gilt: </w:t>
      </w:r>
      <w:r w:rsidR="00C17BD3" w:rsidRPr="00C17BD3">
        <w:rPr>
          <w:rFonts w:ascii="Arial" w:hAnsi="Arial" w:cs="Times New Roman"/>
          <w:color w:val="000000"/>
        </w:rPr>
        <w:t>Manager und andere Mitarbeiter mit Einfluss auf das Risikoprofil einer Bank dürfen nicht mehr als den Betrag ihres Grundgehaltes durch variab</w:t>
      </w:r>
      <w:r w:rsidR="00E63FD6">
        <w:rPr>
          <w:rFonts w:ascii="Arial" w:hAnsi="Arial" w:cs="Times New Roman"/>
          <w:color w:val="000000"/>
        </w:rPr>
        <w:t>le Bonuszahlungen dazuverdienen</w:t>
      </w:r>
      <w:r w:rsidR="00C17BD3" w:rsidRPr="00C17BD3">
        <w:rPr>
          <w:rFonts w:ascii="Arial" w:hAnsi="Arial" w:cs="Times New Roman"/>
          <w:color w:val="000000"/>
        </w:rPr>
        <w:t>.</w:t>
      </w:r>
    </w:p>
    <w:p w:rsidR="00225A23" w:rsidRPr="00225A23" w:rsidRDefault="00225A23" w:rsidP="008D47F3">
      <w:pPr>
        <w:pStyle w:val="Listenabsatz"/>
        <w:numPr>
          <w:ilvl w:val="0"/>
          <w:numId w:val="1"/>
        </w:numPr>
        <w:spacing w:after="120"/>
        <w:ind w:left="567" w:hanging="567"/>
        <w:contextualSpacing w:val="0"/>
        <w:jc w:val="both"/>
        <w:rPr>
          <w:color w:val="000000"/>
        </w:rPr>
      </w:pPr>
      <w:r w:rsidRPr="00225A23">
        <w:rPr>
          <w:rFonts w:ascii="Arial" w:hAnsi="Arial" w:cs="Times New Roman"/>
          <w:b/>
          <w:color w:val="000000"/>
        </w:rPr>
        <w:t>Sanktionen</w:t>
      </w:r>
      <w:r w:rsidR="00FB352B">
        <w:rPr>
          <w:rFonts w:ascii="Arial" w:hAnsi="Arial" w:cs="Times New Roman"/>
          <w:color w:val="000000"/>
        </w:rPr>
        <w:t>:</w:t>
      </w:r>
      <w:r w:rsidRPr="00225A23">
        <w:rPr>
          <w:rFonts w:ascii="Arial" w:hAnsi="Arial" w:cs="Times New Roman"/>
          <w:color w:val="000000"/>
        </w:rPr>
        <w:t xml:space="preserve"> </w:t>
      </w:r>
      <w:r w:rsidR="00E63FD6">
        <w:rPr>
          <w:rFonts w:ascii="Arial" w:hAnsi="Arial" w:cs="Times New Roman"/>
          <w:color w:val="000000"/>
        </w:rPr>
        <w:t>V</w:t>
      </w:r>
      <w:r w:rsidR="0006651D">
        <w:rPr>
          <w:rFonts w:ascii="Arial" w:hAnsi="Arial" w:cs="Times New Roman"/>
          <w:color w:val="000000"/>
        </w:rPr>
        <w:t>erstoßen</w:t>
      </w:r>
      <w:r w:rsidRPr="00225A23">
        <w:rPr>
          <w:rFonts w:ascii="Arial" w:hAnsi="Arial" w:cs="Times New Roman"/>
          <w:color w:val="000000"/>
        </w:rPr>
        <w:t xml:space="preserve"> Institute gegen die EU-Vorschriften</w:t>
      </w:r>
      <w:r w:rsidR="00E63FD6">
        <w:rPr>
          <w:rFonts w:ascii="Arial" w:hAnsi="Arial" w:cs="Times New Roman"/>
          <w:color w:val="000000"/>
        </w:rPr>
        <w:t xml:space="preserve">, </w:t>
      </w:r>
      <w:r w:rsidRPr="00225A23">
        <w:rPr>
          <w:rFonts w:ascii="Arial" w:hAnsi="Arial" w:cs="Times New Roman"/>
          <w:color w:val="000000"/>
        </w:rPr>
        <w:t>haben Aufsichtsbehörden die Möglichkeit, wirkungsvolle Sanktionen zu verhängen (u.a. Geldstrafen von bis zu 10 % des Jahresumsatzes).</w:t>
      </w:r>
    </w:p>
    <w:p w:rsidR="00225A23" w:rsidRPr="0042198E" w:rsidRDefault="00225A23" w:rsidP="0042198E">
      <w:pPr>
        <w:spacing w:after="120"/>
        <w:jc w:val="both"/>
        <w:rPr>
          <w:color w:val="000000"/>
        </w:rPr>
      </w:pPr>
    </w:p>
    <w:p w:rsidR="008D47F3" w:rsidRDefault="00FB352B" w:rsidP="008D47F3">
      <w:pPr>
        <w:spacing w:after="120"/>
        <w:jc w:val="both"/>
        <w:rPr>
          <w:rFonts w:ascii="Arial" w:hAnsi="Arial" w:cs="Times New Roman"/>
          <w:b/>
          <w:color w:val="548DD4"/>
          <w:sz w:val="24"/>
          <w:szCs w:val="24"/>
        </w:rPr>
      </w:pPr>
      <w:r>
        <w:rPr>
          <w:rFonts w:ascii="Arial" w:hAnsi="Arial" w:cs="Times New Roman"/>
          <w:b/>
          <w:color w:val="548DD4"/>
          <w:sz w:val="24"/>
          <w:szCs w:val="24"/>
        </w:rPr>
        <w:t>Was versteht man unter den</w:t>
      </w:r>
      <w:r w:rsidR="00225A23" w:rsidRPr="00225A23">
        <w:rPr>
          <w:rFonts w:ascii="Arial" w:hAnsi="Arial" w:cs="Times New Roman"/>
          <w:b/>
          <w:color w:val="548DD4"/>
          <w:sz w:val="24"/>
          <w:szCs w:val="24"/>
        </w:rPr>
        <w:t xml:space="preserve"> „Basel III“</w:t>
      </w:r>
      <w:r>
        <w:rPr>
          <w:rFonts w:ascii="Arial" w:hAnsi="Arial" w:cs="Times New Roman"/>
          <w:b/>
          <w:color w:val="548DD4"/>
          <w:sz w:val="24"/>
          <w:szCs w:val="24"/>
        </w:rPr>
        <w:t xml:space="preserve"> Empfehlungen und wie werden sie umgesetzt</w:t>
      </w:r>
      <w:r w:rsidR="00225A23" w:rsidRPr="00225A23">
        <w:rPr>
          <w:rFonts w:ascii="Arial" w:hAnsi="Arial" w:cs="Times New Roman"/>
          <w:b/>
          <w:color w:val="548DD4"/>
          <w:sz w:val="24"/>
          <w:szCs w:val="24"/>
        </w:rPr>
        <w:t>?</w:t>
      </w:r>
    </w:p>
    <w:p w:rsidR="00225A23" w:rsidRPr="00225A23" w:rsidRDefault="00225A23" w:rsidP="008D47F3">
      <w:pPr>
        <w:spacing w:after="120"/>
        <w:jc w:val="both"/>
        <w:rPr>
          <w:color w:val="000000"/>
          <w:sz w:val="24"/>
          <w:szCs w:val="24"/>
        </w:rPr>
      </w:pPr>
      <w:r w:rsidRPr="00225A23">
        <w:rPr>
          <w:rFonts w:ascii="Arial" w:hAnsi="Arial" w:cs="Times New Roman"/>
          <w:color w:val="000000"/>
          <w:sz w:val="24"/>
          <w:szCs w:val="24"/>
        </w:rPr>
        <w:t>Der „Baseler Ausschuss für Bankenaufsicht“ hat im Dezember 2010 als Reaktion auf den Ausbruch der Finanz- und Wirtschaftskrise 2007/2008 ein Reformpaket mit Empfehlungen für die internationale Bankenaufsicht unter dem Namen „Basel III“ präsentiert. Der 1974 gegründete Ausschuss hat seinen Sitz in der Bank für Internationalen Zahlungsausgleich (BIZ) in Basel und ist ein internationales Forum für regelmäßige Kooperation im Hinblick auf einheitliche und möglichst hohe internationale St</w:t>
      </w:r>
      <w:r w:rsidR="00C17BD3">
        <w:rPr>
          <w:rFonts w:ascii="Arial" w:hAnsi="Arial" w:cs="Times New Roman"/>
          <w:color w:val="000000"/>
          <w:sz w:val="24"/>
          <w:szCs w:val="24"/>
        </w:rPr>
        <w:t>andards bei der Bankenaufsicht.</w:t>
      </w:r>
    </w:p>
    <w:p w:rsidR="00225A23" w:rsidRPr="00225A23" w:rsidRDefault="00225A23" w:rsidP="008D47F3">
      <w:pPr>
        <w:spacing w:after="120"/>
        <w:jc w:val="both"/>
        <w:rPr>
          <w:rFonts w:ascii="Arial" w:hAnsi="Arial" w:cs="Times New Roman"/>
          <w:color w:val="000000"/>
          <w:sz w:val="24"/>
          <w:szCs w:val="24"/>
        </w:rPr>
      </w:pPr>
      <w:r w:rsidRPr="00225A23">
        <w:rPr>
          <w:rFonts w:ascii="Arial" w:hAnsi="Arial" w:cs="Times New Roman"/>
          <w:color w:val="000000"/>
          <w:sz w:val="24"/>
          <w:szCs w:val="24"/>
        </w:rPr>
        <w:t xml:space="preserve">Zentraler Punkt </w:t>
      </w:r>
      <w:r w:rsidR="00FB352B">
        <w:rPr>
          <w:rFonts w:ascii="Arial" w:hAnsi="Arial" w:cs="Times New Roman"/>
          <w:color w:val="000000"/>
          <w:sz w:val="24"/>
          <w:szCs w:val="24"/>
        </w:rPr>
        <w:t>der</w:t>
      </w:r>
      <w:r w:rsidRPr="00225A23">
        <w:rPr>
          <w:rFonts w:ascii="Arial" w:hAnsi="Arial" w:cs="Times New Roman"/>
          <w:color w:val="000000"/>
          <w:sz w:val="24"/>
          <w:szCs w:val="24"/>
        </w:rPr>
        <w:t xml:space="preserve"> „Basel III“-</w:t>
      </w:r>
      <w:r w:rsidR="00FB352B">
        <w:rPr>
          <w:rFonts w:ascii="Arial" w:hAnsi="Arial" w:cs="Times New Roman"/>
          <w:color w:val="000000"/>
          <w:sz w:val="24"/>
          <w:szCs w:val="24"/>
        </w:rPr>
        <w:t>Empfehlungen</w:t>
      </w:r>
      <w:r w:rsidRPr="00225A23">
        <w:rPr>
          <w:rFonts w:ascii="Arial" w:hAnsi="Arial" w:cs="Times New Roman"/>
          <w:color w:val="000000"/>
          <w:sz w:val="24"/>
          <w:szCs w:val="24"/>
        </w:rPr>
        <w:t xml:space="preserve"> ist die </w:t>
      </w:r>
      <w:r w:rsidRPr="00225A23">
        <w:rPr>
          <w:rFonts w:ascii="Arial" w:hAnsi="Arial" w:cs="Times New Roman"/>
          <w:b/>
          <w:color w:val="000000"/>
          <w:sz w:val="24"/>
          <w:szCs w:val="24"/>
        </w:rPr>
        <w:t>Stärkung des Eigenkapitals</w:t>
      </w:r>
      <w:r w:rsidRPr="00225A23">
        <w:rPr>
          <w:rFonts w:ascii="Arial" w:hAnsi="Arial" w:cs="Times New Roman"/>
          <w:color w:val="000000"/>
          <w:sz w:val="24"/>
          <w:szCs w:val="24"/>
        </w:rPr>
        <w:t xml:space="preserve"> der Banken</w:t>
      </w:r>
      <w:r w:rsidR="00FB352B">
        <w:rPr>
          <w:rFonts w:ascii="Arial" w:hAnsi="Arial" w:cs="Times New Roman"/>
          <w:color w:val="000000"/>
          <w:sz w:val="24"/>
          <w:szCs w:val="24"/>
        </w:rPr>
        <w:t xml:space="preserve">. Die </w:t>
      </w:r>
      <w:proofErr w:type="spellStart"/>
      <w:r w:rsidR="00FB352B">
        <w:rPr>
          <w:rFonts w:ascii="Arial" w:hAnsi="Arial" w:cs="Times New Roman"/>
          <w:color w:val="000000"/>
          <w:sz w:val="24"/>
          <w:szCs w:val="24"/>
        </w:rPr>
        <w:t>europ</w:t>
      </w:r>
      <w:proofErr w:type="spellEnd"/>
      <w:r w:rsidR="00FB352B">
        <w:rPr>
          <w:rFonts w:ascii="Arial" w:hAnsi="Arial" w:cs="Times New Roman"/>
          <w:color w:val="000000"/>
          <w:sz w:val="24"/>
          <w:szCs w:val="24"/>
        </w:rPr>
        <w:t>.</w:t>
      </w:r>
      <w:r w:rsidRPr="00225A23">
        <w:rPr>
          <w:rFonts w:ascii="Arial" w:hAnsi="Arial" w:cs="Times New Roman"/>
          <w:color w:val="000000"/>
          <w:sz w:val="24"/>
          <w:szCs w:val="24"/>
        </w:rPr>
        <w:t xml:space="preserve"> Banken werden in Zukunft höhere Anforderungen bei der Qualität und Quantität des „harten Kernkapitals“ erfüllen müssen.</w:t>
      </w:r>
    </w:p>
    <w:p w:rsidR="00225A23" w:rsidRPr="00225A23" w:rsidRDefault="00225A23" w:rsidP="008D47F3">
      <w:pPr>
        <w:spacing w:after="120"/>
        <w:jc w:val="both"/>
        <w:rPr>
          <w:color w:val="000000"/>
          <w:sz w:val="24"/>
          <w:szCs w:val="24"/>
        </w:rPr>
      </w:pPr>
      <w:proofErr w:type="spellStart"/>
      <w:r w:rsidRPr="00225A23">
        <w:rPr>
          <w:rFonts w:ascii="Arial" w:hAnsi="Arial" w:cs="Times New Roman"/>
          <w:color w:val="000000"/>
          <w:sz w:val="24"/>
          <w:szCs w:val="24"/>
        </w:rPr>
        <w:t>Weiters</w:t>
      </w:r>
      <w:proofErr w:type="spellEnd"/>
      <w:r w:rsidRPr="00225A23">
        <w:rPr>
          <w:rFonts w:ascii="Arial" w:hAnsi="Arial" w:cs="Times New Roman"/>
          <w:color w:val="000000"/>
          <w:sz w:val="24"/>
          <w:szCs w:val="24"/>
        </w:rPr>
        <w:t xml:space="preserve"> „verpflichtet Basel III“ die Banken dazu, mit </w:t>
      </w:r>
      <w:r w:rsidRPr="00225A23">
        <w:rPr>
          <w:rFonts w:ascii="Arial" w:hAnsi="Arial" w:cs="Times New Roman"/>
          <w:b/>
          <w:color w:val="000000"/>
          <w:sz w:val="24"/>
          <w:szCs w:val="24"/>
        </w:rPr>
        <w:t>ausreichend liquiden Mitteln</w:t>
      </w:r>
      <w:r w:rsidRPr="00225A23">
        <w:rPr>
          <w:rFonts w:ascii="Arial" w:hAnsi="Arial" w:cs="Times New Roman"/>
          <w:color w:val="000000"/>
          <w:sz w:val="24"/>
          <w:szCs w:val="24"/>
        </w:rPr>
        <w:t xml:space="preserve"> und zusätzlichen „</w:t>
      </w:r>
      <w:r w:rsidRPr="00225A23">
        <w:rPr>
          <w:rFonts w:ascii="Arial" w:hAnsi="Arial" w:cs="Times New Roman"/>
          <w:b/>
          <w:color w:val="000000"/>
          <w:sz w:val="24"/>
          <w:szCs w:val="24"/>
        </w:rPr>
        <w:t>Kapitalerhaltungspuffern</w:t>
      </w:r>
      <w:r w:rsidRPr="00225A23">
        <w:rPr>
          <w:rFonts w:ascii="Arial" w:hAnsi="Arial" w:cs="Times New Roman"/>
          <w:color w:val="000000"/>
          <w:sz w:val="24"/>
          <w:szCs w:val="24"/>
        </w:rPr>
        <w:t>“ ausgestattet zu sein</w:t>
      </w:r>
      <w:r w:rsidR="00FB352B">
        <w:rPr>
          <w:rFonts w:ascii="Arial" w:hAnsi="Arial" w:cs="Times New Roman"/>
          <w:color w:val="000000"/>
          <w:sz w:val="24"/>
          <w:szCs w:val="24"/>
        </w:rPr>
        <w:t>,</w:t>
      </w:r>
      <w:r w:rsidR="00C17BD3">
        <w:rPr>
          <w:rFonts w:ascii="Arial" w:hAnsi="Arial" w:cs="Times New Roman"/>
          <w:color w:val="000000"/>
          <w:sz w:val="24"/>
          <w:szCs w:val="24"/>
        </w:rPr>
        <w:t xml:space="preserve"> </w:t>
      </w:r>
      <w:r w:rsidRPr="00225A23">
        <w:rPr>
          <w:rFonts w:ascii="Arial" w:hAnsi="Arial" w:cs="Times New Roman"/>
          <w:color w:val="000000"/>
          <w:sz w:val="24"/>
          <w:szCs w:val="24"/>
        </w:rPr>
        <w:t>um eine längere „Stressperiode“ – etwa durch den Abfluss von Einlagen oder durch nicht einbringbare Kredite - besser überstehen zu können. Die Einführung der neuen Kapitalpuffer soll in der EU schrittweise bis 1. Jänner 2019 erfolgen, die Einführung der neuen Liquiditätsstandards schrittweise von 1. Jänn</w:t>
      </w:r>
      <w:r w:rsidR="00C17BD3">
        <w:rPr>
          <w:rFonts w:ascii="Arial" w:hAnsi="Arial" w:cs="Times New Roman"/>
          <w:color w:val="000000"/>
          <w:sz w:val="24"/>
          <w:szCs w:val="24"/>
        </w:rPr>
        <w:t>er 2015 bis zum 1. Jänner 2018.</w:t>
      </w:r>
    </w:p>
    <w:p w:rsidR="008D47F3" w:rsidRDefault="00225A23" w:rsidP="008D47F3">
      <w:pPr>
        <w:spacing w:after="120"/>
        <w:jc w:val="both"/>
        <w:rPr>
          <w:rFonts w:ascii="Arial" w:hAnsi="Arial" w:cs="Times New Roman"/>
          <w:color w:val="000000"/>
          <w:sz w:val="24"/>
          <w:szCs w:val="24"/>
        </w:rPr>
      </w:pPr>
      <w:r w:rsidRPr="00225A23">
        <w:rPr>
          <w:rFonts w:ascii="Arial" w:hAnsi="Arial" w:cs="Times New Roman"/>
          <w:color w:val="000000"/>
          <w:sz w:val="24"/>
          <w:szCs w:val="24"/>
        </w:rPr>
        <w:t xml:space="preserve">Zusätzlich dazu soll Basel III zu einer verbesserten </w:t>
      </w:r>
      <w:r w:rsidRPr="00225A23">
        <w:rPr>
          <w:rFonts w:ascii="Arial" w:hAnsi="Arial" w:cs="Times New Roman"/>
          <w:b/>
          <w:color w:val="000000"/>
          <w:sz w:val="24"/>
          <w:szCs w:val="24"/>
        </w:rPr>
        <w:t>Erfassung des Kreditrisikos von Geschäftspartnern</w:t>
      </w:r>
      <w:r w:rsidRPr="00225A23">
        <w:rPr>
          <w:rFonts w:ascii="Arial" w:hAnsi="Arial" w:cs="Times New Roman"/>
          <w:color w:val="000000"/>
          <w:sz w:val="24"/>
          <w:szCs w:val="24"/>
        </w:rPr>
        <w:t xml:space="preserve"> </w:t>
      </w:r>
      <w:r w:rsidR="00CD5DA9" w:rsidRPr="00E63FD6">
        <w:rPr>
          <w:rFonts w:ascii="Arial" w:hAnsi="Arial" w:cs="Times New Roman"/>
          <w:color w:val="000000"/>
          <w:sz w:val="24"/>
          <w:szCs w:val="24"/>
        </w:rPr>
        <w:t>beim</w:t>
      </w:r>
      <w:r w:rsidR="003B14E3" w:rsidRPr="00E63FD6">
        <w:rPr>
          <w:rFonts w:ascii="Arial" w:hAnsi="Arial" w:cs="Times New Roman"/>
          <w:color w:val="000000"/>
          <w:sz w:val="24"/>
          <w:szCs w:val="24"/>
        </w:rPr>
        <w:t xml:space="preserve"> Handel von Derivaten </w:t>
      </w:r>
      <w:r w:rsidR="00AD6E66" w:rsidRPr="00E63FD6">
        <w:rPr>
          <w:rFonts w:ascii="Arial" w:hAnsi="Arial" w:cs="Times New Roman"/>
          <w:color w:val="000000"/>
          <w:sz w:val="24"/>
          <w:szCs w:val="24"/>
        </w:rPr>
        <w:t>(</w:t>
      </w:r>
      <w:r w:rsidR="003B14E3" w:rsidRPr="00E63FD6">
        <w:rPr>
          <w:rFonts w:ascii="Arial" w:hAnsi="Arial" w:cs="Times New Roman"/>
          <w:color w:val="000000"/>
          <w:sz w:val="24"/>
          <w:szCs w:val="24"/>
        </w:rPr>
        <w:t>Finanzprodukte die ihren Wert von anderen Finanzinstrumenten ableiten</w:t>
      </w:r>
      <w:r w:rsidR="00AD6E66" w:rsidRPr="00E63FD6">
        <w:rPr>
          <w:rFonts w:ascii="Arial" w:hAnsi="Arial" w:cs="Times New Roman"/>
          <w:color w:val="000000"/>
          <w:sz w:val="24"/>
          <w:szCs w:val="24"/>
        </w:rPr>
        <w:t>)</w:t>
      </w:r>
      <w:r w:rsidR="00CD5DA9">
        <w:rPr>
          <w:rFonts w:ascii="Arial" w:hAnsi="Arial" w:cs="Times New Roman"/>
          <w:color w:val="000000"/>
          <w:sz w:val="24"/>
          <w:szCs w:val="24"/>
        </w:rPr>
        <w:t xml:space="preserve"> führen</w:t>
      </w:r>
      <w:r w:rsidRPr="00225A23">
        <w:rPr>
          <w:rFonts w:ascii="Arial" w:hAnsi="Arial" w:cs="Times New Roman"/>
          <w:color w:val="000000"/>
          <w:sz w:val="24"/>
          <w:szCs w:val="24"/>
        </w:rPr>
        <w:t xml:space="preserve">. </w:t>
      </w:r>
    </w:p>
    <w:p w:rsidR="003B14E3" w:rsidRDefault="003B14E3" w:rsidP="008D47F3">
      <w:pPr>
        <w:spacing w:after="120"/>
        <w:jc w:val="both"/>
        <w:rPr>
          <w:rFonts w:ascii="Arial" w:hAnsi="Arial" w:cs="Times New Roman"/>
          <w:b/>
          <w:color w:val="548DD4"/>
          <w:sz w:val="24"/>
          <w:szCs w:val="24"/>
        </w:rPr>
      </w:pPr>
    </w:p>
    <w:p w:rsidR="008D47F3" w:rsidRDefault="00225A23" w:rsidP="008D47F3">
      <w:pPr>
        <w:spacing w:after="120"/>
        <w:jc w:val="both"/>
        <w:rPr>
          <w:rFonts w:ascii="Arial" w:hAnsi="Arial" w:cs="Times New Roman"/>
          <w:b/>
          <w:color w:val="548DD4"/>
          <w:sz w:val="24"/>
          <w:szCs w:val="24"/>
        </w:rPr>
      </w:pPr>
      <w:r w:rsidRPr="00225A23">
        <w:rPr>
          <w:rFonts w:ascii="Arial" w:hAnsi="Arial" w:cs="Times New Roman"/>
          <w:b/>
          <w:color w:val="548DD4"/>
          <w:sz w:val="24"/>
          <w:szCs w:val="24"/>
        </w:rPr>
        <w:t>Weshalb soll es neue EU-weite Bankenaufsichtsregelungen geben?</w:t>
      </w:r>
    </w:p>
    <w:p w:rsidR="00C86794" w:rsidRPr="005F30C4" w:rsidRDefault="00225A23" w:rsidP="00C86794">
      <w:pPr>
        <w:spacing w:after="120"/>
        <w:jc w:val="both"/>
        <w:rPr>
          <w:color w:val="000000"/>
          <w:sz w:val="24"/>
          <w:szCs w:val="24"/>
        </w:rPr>
      </w:pPr>
      <w:r w:rsidRPr="00225A23">
        <w:rPr>
          <w:rFonts w:ascii="Arial" w:hAnsi="Arial" w:cs="Times New Roman"/>
          <w:color w:val="000000"/>
          <w:sz w:val="24"/>
          <w:szCs w:val="24"/>
        </w:rPr>
        <w:t>Da Banken ihre Geschäfte im gesamten EU-Raum abwickeln, hängen sie nicht nur voneinander, sondern auch von der wirtschaftlichen Lage im gesamten EU-</w:t>
      </w:r>
      <w:r w:rsidRPr="00225A23">
        <w:rPr>
          <w:rFonts w:ascii="Arial" w:hAnsi="Arial" w:cs="Times New Roman"/>
          <w:b/>
          <w:color w:val="000000"/>
          <w:sz w:val="24"/>
          <w:szCs w:val="24"/>
        </w:rPr>
        <w:lastRenderedPageBreak/>
        <w:t>Binnenmarkt</w:t>
      </w:r>
      <w:r w:rsidRPr="00225A23">
        <w:rPr>
          <w:rFonts w:ascii="Arial" w:hAnsi="Arial" w:cs="Times New Roman"/>
          <w:color w:val="000000"/>
          <w:sz w:val="24"/>
          <w:szCs w:val="24"/>
        </w:rPr>
        <w:t xml:space="preserve"> ab. </w:t>
      </w:r>
      <w:r w:rsidR="001029C1">
        <w:rPr>
          <w:rFonts w:ascii="Arial" w:hAnsi="Arial" w:cs="Times New Roman"/>
          <w:color w:val="000000"/>
          <w:sz w:val="24"/>
          <w:szCs w:val="24"/>
        </w:rPr>
        <w:t xml:space="preserve"> Damit die neuen Bankenaufsichtsregelungen tatsächlich greifen und ihren Zweck erfüllen, müssen sie also</w:t>
      </w:r>
      <w:r w:rsidR="001029C1" w:rsidRPr="001029C1">
        <w:rPr>
          <w:rFonts w:ascii="Arial" w:hAnsi="Arial" w:cs="Times New Roman"/>
          <w:color w:val="000000"/>
          <w:sz w:val="24"/>
          <w:szCs w:val="24"/>
        </w:rPr>
        <w:t xml:space="preserve"> </w:t>
      </w:r>
      <w:r w:rsidR="001029C1" w:rsidRPr="00225A23">
        <w:rPr>
          <w:rFonts w:ascii="Arial" w:hAnsi="Arial" w:cs="Times New Roman"/>
          <w:color w:val="000000"/>
          <w:sz w:val="24"/>
          <w:szCs w:val="24"/>
        </w:rPr>
        <w:t>in der gesamten EU eingeführt werden</w:t>
      </w:r>
      <w:r w:rsidR="001029C1">
        <w:rPr>
          <w:rFonts w:ascii="Arial" w:hAnsi="Arial" w:cs="Times New Roman"/>
          <w:color w:val="000000"/>
          <w:sz w:val="24"/>
          <w:szCs w:val="24"/>
        </w:rPr>
        <w:t>.</w:t>
      </w:r>
    </w:p>
    <w:p w:rsidR="008D47F3" w:rsidRDefault="008D47F3" w:rsidP="008D47F3">
      <w:pPr>
        <w:spacing w:after="120"/>
        <w:jc w:val="both"/>
        <w:rPr>
          <w:rFonts w:ascii="Arial" w:hAnsi="Arial" w:cs="Times New Roman"/>
          <w:b/>
          <w:color w:val="548DD4"/>
          <w:sz w:val="24"/>
          <w:szCs w:val="24"/>
        </w:rPr>
      </w:pPr>
    </w:p>
    <w:p w:rsidR="008D47F3" w:rsidRDefault="00225A23" w:rsidP="008D47F3">
      <w:pPr>
        <w:spacing w:after="120"/>
        <w:jc w:val="both"/>
        <w:rPr>
          <w:rFonts w:ascii="Arial" w:hAnsi="Arial" w:cs="Times New Roman"/>
          <w:b/>
          <w:color w:val="548DD4"/>
          <w:sz w:val="24"/>
          <w:szCs w:val="24"/>
        </w:rPr>
      </w:pPr>
      <w:r w:rsidRPr="00225A23">
        <w:rPr>
          <w:rFonts w:ascii="Arial" w:hAnsi="Arial" w:cs="Times New Roman"/>
          <w:b/>
          <w:color w:val="548DD4"/>
          <w:sz w:val="24"/>
          <w:szCs w:val="24"/>
        </w:rPr>
        <w:t>Warum ist die Bildung von Eigenkapitalreserven so bedeutend?</w:t>
      </w:r>
    </w:p>
    <w:p w:rsidR="00225A23" w:rsidRPr="00225A23" w:rsidRDefault="00225A23" w:rsidP="008D47F3">
      <w:pPr>
        <w:spacing w:after="120"/>
        <w:jc w:val="both"/>
        <w:rPr>
          <w:rFonts w:ascii="Arial" w:hAnsi="Arial" w:cs="Times New Roman"/>
          <w:color w:val="000000"/>
          <w:sz w:val="24"/>
          <w:szCs w:val="24"/>
        </w:rPr>
      </w:pPr>
      <w:r w:rsidRPr="00225A23">
        <w:rPr>
          <w:rFonts w:ascii="Arial" w:hAnsi="Arial" w:cs="Times New Roman"/>
          <w:color w:val="000000"/>
          <w:sz w:val="24"/>
          <w:szCs w:val="24"/>
        </w:rPr>
        <w:t xml:space="preserve">Das Herzstück des neuen </w:t>
      </w:r>
      <w:r w:rsidR="00FB352B">
        <w:rPr>
          <w:rFonts w:ascii="Arial" w:hAnsi="Arial" w:cs="Times New Roman"/>
          <w:color w:val="000000"/>
          <w:sz w:val="24"/>
          <w:szCs w:val="24"/>
        </w:rPr>
        <w:t>Maßnahmen</w:t>
      </w:r>
      <w:r w:rsidRPr="00225A23">
        <w:rPr>
          <w:rFonts w:ascii="Arial" w:hAnsi="Arial" w:cs="Times New Roman"/>
          <w:color w:val="000000"/>
          <w:sz w:val="24"/>
          <w:szCs w:val="24"/>
        </w:rPr>
        <w:t xml:space="preserve">pakets sind strengere </w:t>
      </w:r>
      <w:r w:rsidRPr="00225A23">
        <w:rPr>
          <w:rFonts w:ascii="Arial" w:hAnsi="Arial" w:cs="Times New Roman"/>
          <w:b/>
          <w:color w:val="000000"/>
          <w:sz w:val="24"/>
          <w:szCs w:val="24"/>
        </w:rPr>
        <w:t>Eigenkapitalvorschriften</w:t>
      </w:r>
      <w:r w:rsidRPr="00225A23">
        <w:rPr>
          <w:rFonts w:ascii="Arial" w:hAnsi="Arial" w:cs="Times New Roman"/>
          <w:color w:val="000000"/>
          <w:sz w:val="24"/>
          <w:szCs w:val="24"/>
        </w:rPr>
        <w:t xml:space="preserve"> für den Finanzsektor, </w:t>
      </w:r>
      <w:r w:rsidR="008F6B93">
        <w:rPr>
          <w:rFonts w:ascii="Arial" w:hAnsi="Arial" w:cs="Times New Roman"/>
          <w:color w:val="000000"/>
          <w:sz w:val="24"/>
          <w:szCs w:val="24"/>
        </w:rPr>
        <w:t>um</w:t>
      </w:r>
      <w:r w:rsidRPr="00225A23">
        <w:rPr>
          <w:rFonts w:ascii="Arial" w:hAnsi="Arial" w:cs="Times New Roman"/>
          <w:color w:val="000000"/>
          <w:sz w:val="24"/>
          <w:szCs w:val="24"/>
        </w:rPr>
        <w:t xml:space="preserve"> diesen in Zukunft für negative Entwicklungen </w:t>
      </w:r>
      <w:r w:rsidR="008F6B93" w:rsidRPr="00225A23">
        <w:rPr>
          <w:rFonts w:ascii="Arial" w:hAnsi="Arial" w:cs="Times New Roman"/>
          <w:color w:val="000000"/>
          <w:sz w:val="24"/>
          <w:szCs w:val="24"/>
        </w:rPr>
        <w:t xml:space="preserve">besser </w:t>
      </w:r>
      <w:r w:rsidRPr="00225A23">
        <w:rPr>
          <w:rFonts w:ascii="Arial" w:hAnsi="Arial" w:cs="Times New Roman"/>
          <w:color w:val="000000"/>
          <w:sz w:val="24"/>
          <w:szCs w:val="24"/>
        </w:rPr>
        <w:t>zu rüsten</w:t>
      </w:r>
      <w:r w:rsidR="008F6B93">
        <w:rPr>
          <w:rFonts w:ascii="Arial" w:hAnsi="Arial" w:cs="Times New Roman"/>
          <w:color w:val="000000"/>
          <w:sz w:val="24"/>
          <w:szCs w:val="24"/>
        </w:rPr>
        <w:t xml:space="preserve">. Dadurch soll verhindert werden, </w:t>
      </w:r>
      <w:r w:rsidRPr="00225A23">
        <w:rPr>
          <w:rFonts w:ascii="Arial" w:hAnsi="Arial" w:cs="Times New Roman"/>
          <w:color w:val="000000"/>
          <w:sz w:val="24"/>
          <w:szCs w:val="24"/>
        </w:rPr>
        <w:t>dass Steuerzahler zahlungsunfähigen Banken unter die Arme greifen müssen.</w:t>
      </w:r>
      <w:r w:rsidR="00FB352B">
        <w:rPr>
          <w:rFonts w:ascii="Arial" w:hAnsi="Arial" w:cs="Times New Roman"/>
          <w:color w:val="000000"/>
          <w:sz w:val="24"/>
          <w:szCs w:val="24"/>
        </w:rPr>
        <w:t xml:space="preserve"> </w:t>
      </w:r>
      <w:r w:rsidR="005F30C4">
        <w:rPr>
          <w:rFonts w:ascii="Arial" w:hAnsi="Arial" w:cs="Times New Roman"/>
          <w:color w:val="000000"/>
          <w:sz w:val="24"/>
          <w:szCs w:val="24"/>
        </w:rPr>
        <w:t>H</w:t>
      </w:r>
      <w:r w:rsidRPr="00225A23">
        <w:rPr>
          <w:rFonts w:ascii="Arial" w:hAnsi="Arial" w:cs="Times New Roman"/>
          <w:color w:val="000000"/>
          <w:sz w:val="24"/>
          <w:szCs w:val="24"/>
        </w:rPr>
        <w:t xml:space="preserve">öhere Eigenkapitalpuffer sind </w:t>
      </w:r>
      <w:r w:rsidR="008F6B93">
        <w:rPr>
          <w:rFonts w:ascii="Arial" w:hAnsi="Arial" w:cs="Times New Roman"/>
          <w:color w:val="000000"/>
          <w:sz w:val="24"/>
          <w:szCs w:val="24"/>
        </w:rPr>
        <w:t xml:space="preserve">ein </w:t>
      </w:r>
      <w:r w:rsidRPr="00225A23">
        <w:rPr>
          <w:rFonts w:ascii="Arial" w:hAnsi="Arial" w:cs="Times New Roman"/>
          <w:color w:val="000000"/>
          <w:sz w:val="24"/>
          <w:szCs w:val="24"/>
        </w:rPr>
        <w:t xml:space="preserve">Kernbestandteil nachhaltiger Finanzmarkpolitik, denn sie machen die Banken </w:t>
      </w:r>
      <w:r w:rsidR="001029C1">
        <w:rPr>
          <w:rFonts w:ascii="Arial" w:hAnsi="Arial" w:cs="Times New Roman"/>
          <w:color w:val="000000"/>
          <w:sz w:val="24"/>
          <w:szCs w:val="24"/>
        </w:rPr>
        <w:t xml:space="preserve">finanziell </w:t>
      </w:r>
      <w:r w:rsidRPr="00225A23">
        <w:rPr>
          <w:rFonts w:ascii="Arial" w:hAnsi="Arial" w:cs="Times New Roman"/>
          <w:color w:val="000000"/>
          <w:sz w:val="24"/>
          <w:szCs w:val="24"/>
        </w:rPr>
        <w:t>stabiler. Darüber hinaus sorgen einheitliche Eigenkapitalvorschriften</w:t>
      </w:r>
      <w:r w:rsidRPr="00225A23">
        <w:rPr>
          <w:rFonts w:ascii="Arial" w:hAnsi="Arial" w:cs="Times New Roman"/>
          <w:b/>
          <w:color w:val="000000"/>
          <w:sz w:val="24"/>
          <w:szCs w:val="24"/>
        </w:rPr>
        <w:t xml:space="preserve"> </w:t>
      </w:r>
      <w:r w:rsidRPr="00225A23">
        <w:rPr>
          <w:rFonts w:ascii="Arial" w:hAnsi="Arial" w:cs="Times New Roman"/>
          <w:color w:val="000000"/>
          <w:sz w:val="24"/>
          <w:szCs w:val="24"/>
        </w:rPr>
        <w:t xml:space="preserve">für </w:t>
      </w:r>
      <w:r w:rsidR="008F6B93">
        <w:rPr>
          <w:rFonts w:ascii="Arial" w:hAnsi="Arial" w:cs="Times New Roman"/>
          <w:color w:val="000000"/>
          <w:sz w:val="24"/>
          <w:szCs w:val="24"/>
        </w:rPr>
        <w:t xml:space="preserve">einen </w:t>
      </w:r>
      <w:r w:rsidRPr="00225A23">
        <w:rPr>
          <w:rFonts w:ascii="Arial" w:hAnsi="Arial" w:cs="Times New Roman"/>
          <w:color w:val="000000"/>
          <w:sz w:val="24"/>
          <w:szCs w:val="24"/>
        </w:rPr>
        <w:t>faireren Wettbewerb zwischen kleinen Banken</w:t>
      </w:r>
      <w:r w:rsidR="00C17BD3">
        <w:rPr>
          <w:rFonts w:ascii="Arial" w:hAnsi="Arial" w:cs="Times New Roman"/>
          <w:color w:val="000000"/>
          <w:sz w:val="24"/>
          <w:szCs w:val="24"/>
        </w:rPr>
        <w:t xml:space="preserve"> und größeren Finanzinstituten.</w:t>
      </w:r>
    </w:p>
    <w:p w:rsidR="00225A23" w:rsidRPr="00225A23" w:rsidRDefault="00225A23" w:rsidP="008D47F3">
      <w:pPr>
        <w:spacing w:after="120"/>
        <w:jc w:val="both"/>
        <w:rPr>
          <w:color w:val="000000"/>
          <w:sz w:val="24"/>
          <w:szCs w:val="24"/>
        </w:rPr>
      </w:pPr>
      <w:r w:rsidRPr="00225A23">
        <w:rPr>
          <w:rFonts w:ascii="Arial" w:hAnsi="Arial" w:cs="Times New Roman"/>
          <w:color w:val="000000"/>
          <w:sz w:val="24"/>
          <w:szCs w:val="24"/>
        </w:rPr>
        <w:t>Die</w:t>
      </w:r>
      <w:r w:rsidR="008F6B93">
        <w:rPr>
          <w:rFonts w:ascii="Arial" w:hAnsi="Arial" w:cs="Times New Roman"/>
          <w:color w:val="000000"/>
          <w:sz w:val="24"/>
          <w:szCs w:val="24"/>
        </w:rPr>
        <w:t>se</w:t>
      </w:r>
      <w:r w:rsidRPr="00225A23">
        <w:rPr>
          <w:rFonts w:ascii="Arial" w:hAnsi="Arial" w:cs="Times New Roman"/>
          <w:color w:val="000000"/>
          <w:sz w:val="24"/>
          <w:szCs w:val="24"/>
        </w:rPr>
        <w:t xml:space="preserve"> Regelungen nützen dem Einleger, den</w:t>
      </w:r>
      <w:r w:rsidR="008F6B93">
        <w:rPr>
          <w:rFonts w:ascii="Arial" w:hAnsi="Arial" w:cs="Times New Roman"/>
          <w:color w:val="000000"/>
          <w:sz w:val="24"/>
          <w:szCs w:val="24"/>
        </w:rPr>
        <w:t>n</w:t>
      </w:r>
      <w:r w:rsidRPr="00225A23">
        <w:rPr>
          <w:rFonts w:ascii="Arial" w:hAnsi="Arial" w:cs="Times New Roman"/>
          <w:color w:val="000000"/>
          <w:sz w:val="24"/>
          <w:szCs w:val="24"/>
        </w:rPr>
        <w:t xml:space="preserve"> durch eine strengere </w:t>
      </w:r>
      <w:proofErr w:type="spellStart"/>
      <w:r w:rsidRPr="00225A23">
        <w:rPr>
          <w:rFonts w:ascii="Arial" w:hAnsi="Arial" w:cs="Times New Roman"/>
          <w:color w:val="000000"/>
          <w:sz w:val="24"/>
          <w:szCs w:val="24"/>
        </w:rPr>
        <w:t>Eigenkapitalan</w:t>
      </w:r>
      <w:proofErr w:type="spellEnd"/>
      <w:r w:rsidR="00FB352B">
        <w:rPr>
          <w:rFonts w:ascii="Arial" w:hAnsi="Arial" w:cs="Times New Roman"/>
          <w:color w:val="000000"/>
          <w:sz w:val="24"/>
          <w:szCs w:val="24"/>
        </w:rPr>
        <w:t>-</w:t>
      </w:r>
      <w:r w:rsidRPr="00225A23">
        <w:rPr>
          <w:rFonts w:ascii="Arial" w:hAnsi="Arial" w:cs="Times New Roman"/>
          <w:color w:val="000000"/>
          <w:sz w:val="24"/>
          <w:szCs w:val="24"/>
        </w:rPr>
        <w:t xml:space="preserve">forderungen </w:t>
      </w:r>
      <w:r w:rsidR="00FB352B">
        <w:rPr>
          <w:rFonts w:ascii="Arial" w:hAnsi="Arial" w:cs="Times New Roman"/>
          <w:color w:val="000000"/>
          <w:sz w:val="24"/>
          <w:szCs w:val="24"/>
        </w:rPr>
        <w:t>wird</w:t>
      </w:r>
      <w:r w:rsidRPr="00225A23">
        <w:rPr>
          <w:rFonts w:ascii="Arial" w:hAnsi="Arial" w:cs="Times New Roman"/>
          <w:color w:val="000000"/>
          <w:sz w:val="24"/>
          <w:szCs w:val="24"/>
        </w:rPr>
        <w:t xml:space="preserve"> das Konkursrisiko von Banken</w:t>
      </w:r>
      <w:r>
        <w:rPr>
          <w:rFonts w:ascii="Arial" w:hAnsi="Arial" w:cs="Times New Roman"/>
          <w:color w:val="000000"/>
          <w:sz w:val="24"/>
          <w:szCs w:val="24"/>
        </w:rPr>
        <w:t xml:space="preserve"> </w:t>
      </w:r>
      <w:r w:rsidRPr="00225A23">
        <w:rPr>
          <w:rFonts w:ascii="Arial" w:hAnsi="Arial" w:cs="Times New Roman"/>
          <w:color w:val="000000"/>
          <w:sz w:val="24"/>
          <w:szCs w:val="24"/>
        </w:rPr>
        <w:t>verringert und ein</w:t>
      </w:r>
      <w:r w:rsidR="00FB352B">
        <w:rPr>
          <w:rFonts w:ascii="Arial" w:hAnsi="Arial" w:cs="Times New Roman"/>
          <w:color w:val="000000"/>
          <w:sz w:val="24"/>
          <w:szCs w:val="24"/>
        </w:rPr>
        <w:t xml:space="preserve"> erhöhter </w:t>
      </w:r>
      <w:r w:rsidRPr="00225A23">
        <w:rPr>
          <w:rFonts w:ascii="Arial" w:hAnsi="Arial" w:cs="Times New Roman"/>
          <w:color w:val="000000"/>
          <w:sz w:val="24"/>
          <w:szCs w:val="24"/>
        </w:rPr>
        <w:t>Ein</w:t>
      </w:r>
      <w:r w:rsidR="00C17BD3">
        <w:rPr>
          <w:rFonts w:ascii="Arial" w:hAnsi="Arial" w:cs="Times New Roman"/>
          <w:color w:val="000000"/>
          <w:sz w:val="24"/>
          <w:szCs w:val="24"/>
        </w:rPr>
        <w:t xml:space="preserve">lagenschutz sichergestellt. </w:t>
      </w:r>
      <w:r w:rsidR="008F6B93">
        <w:rPr>
          <w:rFonts w:ascii="Arial" w:hAnsi="Arial" w:cs="Times New Roman"/>
          <w:color w:val="000000"/>
          <w:sz w:val="24"/>
          <w:szCs w:val="24"/>
        </w:rPr>
        <w:t>Zudem soll dadurch verhindert werden, dass</w:t>
      </w:r>
      <w:r w:rsidRPr="00225A23">
        <w:rPr>
          <w:rFonts w:ascii="Arial" w:hAnsi="Arial" w:cs="Times New Roman"/>
          <w:color w:val="000000"/>
          <w:sz w:val="24"/>
          <w:szCs w:val="24"/>
        </w:rPr>
        <w:t xml:space="preserve"> Banken in Rezessionszeiten, die </w:t>
      </w:r>
      <w:r w:rsidR="00FB352B">
        <w:rPr>
          <w:rFonts w:ascii="Arial" w:hAnsi="Arial" w:cs="Times New Roman"/>
          <w:color w:val="000000"/>
          <w:sz w:val="24"/>
          <w:szCs w:val="24"/>
        </w:rPr>
        <w:t>Kreditv</w:t>
      </w:r>
      <w:r w:rsidRPr="00225A23">
        <w:rPr>
          <w:rFonts w:ascii="Arial" w:hAnsi="Arial" w:cs="Times New Roman"/>
          <w:color w:val="000000"/>
          <w:sz w:val="24"/>
          <w:szCs w:val="24"/>
        </w:rPr>
        <w:t>ergabe an kreditwürdige Kreditnehmer drosseln</w:t>
      </w:r>
      <w:r w:rsidR="008F6B93">
        <w:rPr>
          <w:rFonts w:ascii="Arial" w:hAnsi="Arial" w:cs="Times New Roman"/>
          <w:color w:val="000000"/>
          <w:sz w:val="24"/>
          <w:szCs w:val="24"/>
        </w:rPr>
        <w:t xml:space="preserve"> müssen</w:t>
      </w:r>
      <w:r w:rsidRPr="00225A23">
        <w:rPr>
          <w:rFonts w:ascii="Arial" w:hAnsi="Arial" w:cs="Times New Roman"/>
          <w:color w:val="000000"/>
          <w:sz w:val="24"/>
          <w:szCs w:val="24"/>
        </w:rPr>
        <w:t>.</w:t>
      </w:r>
    </w:p>
    <w:p w:rsidR="008D47F3" w:rsidRDefault="008D47F3" w:rsidP="008D47F3">
      <w:pPr>
        <w:spacing w:after="120"/>
        <w:jc w:val="both"/>
        <w:rPr>
          <w:rFonts w:ascii="Arial" w:hAnsi="Arial" w:cs="Times New Roman"/>
          <w:b/>
          <w:color w:val="548DD4"/>
          <w:sz w:val="24"/>
          <w:szCs w:val="24"/>
        </w:rPr>
      </w:pPr>
    </w:p>
    <w:p w:rsidR="008D47F3" w:rsidRDefault="00225A23" w:rsidP="008D47F3">
      <w:pPr>
        <w:spacing w:after="120"/>
        <w:jc w:val="both"/>
        <w:rPr>
          <w:rFonts w:ascii="Arial" w:hAnsi="Arial" w:cs="Times New Roman"/>
          <w:b/>
          <w:color w:val="548DD4"/>
          <w:sz w:val="24"/>
          <w:szCs w:val="24"/>
        </w:rPr>
      </w:pPr>
      <w:r w:rsidRPr="00225A23">
        <w:rPr>
          <w:rFonts w:ascii="Arial" w:hAnsi="Arial" w:cs="Times New Roman"/>
          <w:b/>
          <w:color w:val="548DD4"/>
          <w:sz w:val="24"/>
          <w:szCs w:val="24"/>
        </w:rPr>
        <w:t>Warum ist die Limitierung der „Bankerboni“ wichtig?</w:t>
      </w:r>
    </w:p>
    <w:p w:rsidR="00225A23" w:rsidRPr="00225A23" w:rsidRDefault="00FB352B" w:rsidP="008D47F3">
      <w:pPr>
        <w:spacing w:after="120"/>
        <w:jc w:val="both"/>
        <w:rPr>
          <w:color w:val="000000"/>
          <w:sz w:val="24"/>
          <w:szCs w:val="24"/>
        </w:rPr>
      </w:pPr>
      <w:r>
        <w:rPr>
          <w:rFonts w:ascii="Arial" w:hAnsi="Arial" w:cs="Times New Roman"/>
          <w:color w:val="000000"/>
          <w:sz w:val="24"/>
          <w:szCs w:val="24"/>
        </w:rPr>
        <w:t>Mit dieser</w:t>
      </w:r>
      <w:r w:rsidR="00225A23" w:rsidRPr="00225A23">
        <w:rPr>
          <w:rFonts w:ascii="Arial" w:hAnsi="Arial" w:cs="Times New Roman"/>
          <w:color w:val="000000"/>
          <w:sz w:val="24"/>
          <w:szCs w:val="24"/>
        </w:rPr>
        <w:t xml:space="preserve"> Deckel</w:t>
      </w:r>
      <w:r>
        <w:rPr>
          <w:rFonts w:ascii="Arial" w:hAnsi="Arial" w:cs="Times New Roman"/>
          <w:color w:val="000000"/>
          <w:sz w:val="24"/>
          <w:szCs w:val="24"/>
        </w:rPr>
        <w:t>ung</w:t>
      </w:r>
      <w:r w:rsidR="00225A23" w:rsidRPr="00225A23">
        <w:rPr>
          <w:rFonts w:ascii="Arial" w:hAnsi="Arial" w:cs="Times New Roman"/>
          <w:color w:val="000000"/>
          <w:sz w:val="24"/>
          <w:szCs w:val="24"/>
        </w:rPr>
        <w:t xml:space="preserve"> für erfolgsabhängige Gehaltszahlungen werden </w:t>
      </w:r>
      <w:r w:rsidR="00C17BD3" w:rsidRPr="00225A23">
        <w:rPr>
          <w:rFonts w:ascii="Arial" w:hAnsi="Arial" w:cs="Times New Roman"/>
          <w:color w:val="000000"/>
          <w:sz w:val="24"/>
          <w:szCs w:val="24"/>
        </w:rPr>
        <w:t xml:space="preserve">Boni-Exzesse </w:t>
      </w:r>
      <w:r w:rsidR="00C17BD3">
        <w:rPr>
          <w:rFonts w:ascii="Arial" w:hAnsi="Arial" w:cs="Times New Roman"/>
          <w:color w:val="000000"/>
          <w:sz w:val="24"/>
          <w:szCs w:val="24"/>
        </w:rPr>
        <w:t xml:space="preserve">und damit </w:t>
      </w:r>
      <w:r w:rsidR="00225A23" w:rsidRPr="00225A23">
        <w:rPr>
          <w:rFonts w:ascii="Arial" w:hAnsi="Arial" w:cs="Times New Roman"/>
          <w:color w:val="000000"/>
          <w:sz w:val="24"/>
          <w:szCs w:val="24"/>
        </w:rPr>
        <w:t>extreme Risikobereitschaft</w:t>
      </w:r>
      <w:r w:rsidR="00C17BD3">
        <w:rPr>
          <w:rFonts w:ascii="Arial" w:hAnsi="Arial" w:cs="Times New Roman"/>
          <w:color w:val="000000"/>
          <w:sz w:val="24"/>
          <w:szCs w:val="24"/>
        </w:rPr>
        <w:t xml:space="preserve"> von Entscheidungsträgern</w:t>
      </w:r>
      <w:r w:rsidR="00225A23" w:rsidRPr="00225A23">
        <w:rPr>
          <w:rFonts w:ascii="Arial" w:hAnsi="Arial" w:cs="Times New Roman"/>
          <w:color w:val="000000"/>
          <w:sz w:val="24"/>
          <w:szCs w:val="24"/>
        </w:rPr>
        <w:t xml:space="preserve"> </w:t>
      </w:r>
      <w:r>
        <w:rPr>
          <w:rFonts w:ascii="Arial" w:hAnsi="Arial" w:cs="Times New Roman"/>
          <w:color w:val="000000"/>
          <w:sz w:val="24"/>
          <w:szCs w:val="24"/>
        </w:rPr>
        <w:t>eingeschränkt.</w:t>
      </w:r>
    </w:p>
    <w:p w:rsidR="008D47F3" w:rsidRDefault="008D47F3" w:rsidP="008D47F3">
      <w:pPr>
        <w:spacing w:after="120"/>
        <w:jc w:val="both"/>
        <w:rPr>
          <w:rFonts w:ascii="Arial" w:hAnsi="Arial" w:cs="Times New Roman"/>
          <w:b/>
          <w:color w:val="548DD4"/>
          <w:sz w:val="24"/>
          <w:szCs w:val="24"/>
        </w:rPr>
      </w:pPr>
    </w:p>
    <w:p w:rsidR="008D47F3" w:rsidRDefault="00225A23" w:rsidP="008D47F3">
      <w:pPr>
        <w:spacing w:after="120"/>
        <w:jc w:val="both"/>
        <w:rPr>
          <w:rFonts w:ascii="Arial" w:hAnsi="Arial" w:cs="Times New Roman"/>
          <w:b/>
          <w:color w:val="548DD4"/>
          <w:sz w:val="24"/>
          <w:szCs w:val="24"/>
        </w:rPr>
      </w:pPr>
      <w:r w:rsidRPr="00225A23">
        <w:rPr>
          <w:rFonts w:ascii="Arial" w:hAnsi="Arial" w:cs="Times New Roman"/>
          <w:b/>
          <w:color w:val="548DD4"/>
          <w:sz w:val="24"/>
          <w:szCs w:val="24"/>
        </w:rPr>
        <w:t>Weiterer Zeitplan</w:t>
      </w:r>
      <w:r w:rsidR="000452E3">
        <w:rPr>
          <w:rFonts w:ascii="Arial" w:hAnsi="Arial" w:cs="Times New Roman"/>
          <w:b/>
          <w:color w:val="548DD4"/>
          <w:sz w:val="24"/>
          <w:szCs w:val="24"/>
        </w:rPr>
        <w:t xml:space="preserve"> </w:t>
      </w:r>
    </w:p>
    <w:p w:rsidR="00225A23" w:rsidRDefault="00AD6E66" w:rsidP="008D47F3">
      <w:pPr>
        <w:spacing w:after="120"/>
        <w:jc w:val="both"/>
        <w:rPr>
          <w:rFonts w:ascii="Arial" w:hAnsi="Arial" w:cs="Times New Roman"/>
          <w:color w:val="000000"/>
          <w:sz w:val="24"/>
          <w:szCs w:val="24"/>
        </w:rPr>
      </w:pPr>
      <w:r w:rsidRPr="00E63FD6">
        <w:rPr>
          <w:rFonts w:ascii="Arial" w:hAnsi="Arial" w:cs="Times New Roman"/>
          <w:color w:val="000000"/>
          <w:sz w:val="24"/>
          <w:szCs w:val="24"/>
        </w:rPr>
        <w:t xml:space="preserve">Das Maßnahmenpaket </w:t>
      </w:r>
      <w:r w:rsidR="00A929DF">
        <w:rPr>
          <w:rFonts w:ascii="Arial" w:hAnsi="Arial" w:cs="Times New Roman"/>
          <w:color w:val="000000"/>
          <w:sz w:val="24"/>
          <w:szCs w:val="24"/>
        </w:rPr>
        <w:t>wurde</w:t>
      </w:r>
      <w:r w:rsidRPr="00E63FD6">
        <w:rPr>
          <w:rFonts w:ascii="Arial" w:hAnsi="Arial" w:cs="Times New Roman"/>
          <w:color w:val="000000"/>
          <w:sz w:val="24"/>
          <w:szCs w:val="24"/>
        </w:rPr>
        <w:t xml:space="preserve"> </w:t>
      </w:r>
      <w:r w:rsidR="00C84B22">
        <w:rPr>
          <w:rFonts w:ascii="Arial" w:hAnsi="Arial" w:cs="Times New Roman"/>
          <w:color w:val="000000"/>
          <w:sz w:val="24"/>
          <w:szCs w:val="24"/>
        </w:rPr>
        <w:t>am 20.</w:t>
      </w:r>
      <w:r w:rsidR="00E63FD6">
        <w:rPr>
          <w:rFonts w:ascii="Arial" w:hAnsi="Arial" w:cs="Times New Roman"/>
          <w:color w:val="000000"/>
          <w:sz w:val="24"/>
          <w:szCs w:val="24"/>
        </w:rPr>
        <w:t xml:space="preserve"> Juni 2013 vom Rat angenommen</w:t>
      </w:r>
      <w:r w:rsidR="00316040" w:rsidRPr="00E63FD6">
        <w:rPr>
          <w:rFonts w:ascii="Arial" w:hAnsi="Arial" w:cs="Times New Roman"/>
          <w:color w:val="000000"/>
          <w:sz w:val="24"/>
          <w:szCs w:val="24"/>
        </w:rPr>
        <w:t xml:space="preserve">. </w:t>
      </w:r>
      <w:r w:rsidR="00225A23" w:rsidRPr="00E63FD6">
        <w:rPr>
          <w:rFonts w:ascii="Arial" w:hAnsi="Arial" w:cs="Times New Roman"/>
          <w:color w:val="000000"/>
          <w:sz w:val="24"/>
          <w:szCs w:val="24"/>
        </w:rPr>
        <w:t>Die neu</w:t>
      </w:r>
      <w:r w:rsidR="00316040" w:rsidRPr="00E63FD6">
        <w:rPr>
          <w:rFonts w:ascii="Arial" w:hAnsi="Arial" w:cs="Times New Roman"/>
          <w:color w:val="000000"/>
          <w:sz w:val="24"/>
          <w:szCs w:val="24"/>
        </w:rPr>
        <w:t xml:space="preserve">en Regeln </w:t>
      </w:r>
      <w:r w:rsidR="00C72F10">
        <w:rPr>
          <w:rFonts w:ascii="Arial" w:hAnsi="Arial" w:cs="Times New Roman"/>
          <w:color w:val="000000"/>
          <w:sz w:val="24"/>
          <w:szCs w:val="24"/>
        </w:rPr>
        <w:t>gelten seit</w:t>
      </w:r>
      <w:r w:rsidR="00225A23" w:rsidRPr="00E63FD6">
        <w:rPr>
          <w:rFonts w:ascii="Arial" w:hAnsi="Arial" w:cs="Times New Roman"/>
          <w:b/>
          <w:color w:val="000000"/>
          <w:sz w:val="24"/>
          <w:szCs w:val="24"/>
        </w:rPr>
        <w:t xml:space="preserve"> 1. Jänner 2014</w:t>
      </w:r>
      <w:r w:rsidR="00225A23" w:rsidRPr="00E63FD6">
        <w:rPr>
          <w:rFonts w:ascii="Arial" w:hAnsi="Arial" w:cs="Times New Roman"/>
          <w:color w:val="000000"/>
          <w:sz w:val="24"/>
          <w:szCs w:val="24"/>
        </w:rPr>
        <w:t xml:space="preserve">, wobei einzelne Vorschriften erst während der </w:t>
      </w:r>
      <w:r w:rsidR="00225A23" w:rsidRPr="00E63FD6">
        <w:rPr>
          <w:rFonts w:ascii="Arial" w:hAnsi="Arial" w:cs="Times New Roman"/>
          <w:b/>
          <w:color w:val="000000"/>
          <w:sz w:val="24"/>
          <w:szCs w:val="24"/>
        </w:rPr>
        <w:t>Übergangsphase bis 2019</w:t>
      </w:r>
      <w:r w:rsidR="00225A23" w:rsidRPr="00E63FD6">
        <w:rPr>
          <w:rFonts w:ascii="Arial" w:hAnsi="Arial" w:cs="Times New Roman"/>
          <w:color w:val="000000"/>
          <w:sz w:val="24"/>
          <w:szCs w:val="24"/>
        </w:rPr>
        <w:t xml:space="preserve"> wirksam werden.</w:t>
      </w:r>
    </w:p>
    <w:p w:rsidR="000452E3" w:rsidRDefault="006A4D0F" w:rsidP="008D47F3">
      <w:pPr>
        <w:spacing w:after="120"/>
        <w:jc w:val="both"/>
        <w:rPr>
          <w:rFonts w:ascii="Arial" w:hAnsi="Arial" w:cs="Times New Roman"/>
          <w:color w:val="000000"/>
          <w:sz w:val="24"/>
          <w:szCs w:val="24"/>
        </w:rPr>
      </w:pPr>
      <w:r w:rsidRPr="00E63FD6">
        <w:rPr>
          <w:rFonts w:ascii="Arial" w:hAnsi="Arial" w:cs="Times New Roman"/>
          <w:color w:val="000000"/>
          <w:sz w:val="24"/>
          <w:szCs w:val="24"/>
        </w:rPr>
        <w:t>Die</w:t>
      </w:r>
      <w:r w:rsidR="002C0D4B" w:rsidRPr="00E63FD6">
        <w:rPr>
          <w:rFonts w:ascii="Arial" w:hAnsi="Arial" w:cs="Times New Roman"/>
          <w:color w:val="000000"/>
          <w:sz w:val="24"/>
          <w:szCs w:val="24"/>
        </w:rPr>
        <w:t xml:space="preserve"> </w:t>
      </w:r>
      <w:r w:rsidRPr="00E63FD6">
        <w:rPr>
          <w:rFonts w:ascii="Arial" w:hAnsi="Arial" w:cs="Times New Roman"/>
          <w:color w:val="000000"/>
          <w:sz w:val="24"/>
          <w:szCs w:val="24"/>
        </w:rPr>
        <w:t xml:space="preserve">beschriebenen Maßnahmen </w:t>
      </w:r>
      <w:r w:rsidR="002C0D4B" w:rsidRPr="00E63FD6">
        <w:rPr>
          <w:rFonts w:ascii="Arial" w:hAnsi="Arial" w:cs="Times New Roman"/>
          <w:color w:val="000000"/>
          <w:sz w:val="24"/>
          <w:szCs w:val="24"/>
        </w:rPr>
        <w:t xml:space="preserve">werden nicht nur einheitliche Maßstäbe bei den Anforderungen an die Banken schaffen. </w:t>
      </w:r>
      <w:r w:rsidR="00951E5E" w:rsidRPr="00E63FD6">
        <w:rPr>
          <w:rFonts w:ascii="Arial" w:hAnsi="Arial" w:cs="Times New Roman"/>
          <w:color w:val="000000"/>
          <w:sz w:val="24"/>
          <w:szCs w:val="24"/>
        </w:rPr>
        <w:t>Di</w:t>
      </w:r>
      <w:r w:rsidR="002C0D4B" w:rsidRPr="00E63FD6">
        <w:rPr>
          <w:rFonts w:ascii="Arial" w:hAnsi="Arial" w:cs="Times New Roman"/>
          <w:color w:val="000000"/>
          <w:sz w:val="24"/>
          <w:szCs w:val="24"/>
        </w:rPr>
        <w:t>e Einigung über das</w:t>
      </w:r>
      <w:r w:rsidR="00951E5E" w:rsidRPr="00E63FD6">
        <w:rPr>
          <w:rFonts w:ascii="Arial" w:hAnsi="Arial" w:cs="Times New Roman"/>
          <w:color w:val="000000"/>
          <w:sz w:val="24"/>
          <w:szCs w:val="24"/>
        </w:rPr>
        <w:t xml:space="preserve"> Maßnahmenpaket trägt </w:t>
      </w:r>
      <w:r w:rsidR="002C0D4B" w:rsidRPr="00E63FD6">
        <w:rPr>
          <w:rFonts w:ascii="Arial" w:hAnsi="Arial" w:cs="Times New Roman"/>
          <w:color w:val="000000"/>
          <w:sz w:val="24"/>
          <w:szCs w:val="24"/>
        </w:rPr>
        <w:t xml:space="preserve">auch </w:t>
      </w:r>
      <w:r w:rsidR="00951E5E" w:rsidRPr="00E63FD6">
        <w:rPr>
          <w:rFonts w:ascii="Arial" w:hAnsi="Arial" w:cs="Times New Roman"/>
          <w:color w:val="000000"/>
          <w:sz w:val="24"/>
          <w:szCs w:val="24"/>
        </w:rPr>
        <w:t xml:space="preserve">maßgeblich </w:t>
      </w:r>
      <w:r w:rsidRPr="00E63FD6">
        <w:rPr>
          <w:rFonts w:ascii="Arial" w:hAnsi="Arial" w:cs="Times New Roman"/>
          <w:color w:val="000000"/>
          <w:sz w:val="24"/>
          <w:szCs w:val="24"/>
        </w:rPr>
        <w:t>zur</w:t>
      </w:r>
      <w:r w:rsidR="001F09E1" w:rsidRPr="00E63FD6">
        <w:rPr>
          <w:rFonts w:ascii="Arial" w:hAnsi="Arial" w:cs="Times New Roman"/>
          <w:color w:val="000000"/>
          <w:sz w:val="24"/>
          <w:szCs w:val="24"/>
        </w:rPr>
        <w:t xml:space="preserve"> voranschreitenden</w:t>
      </w:r>
      <w:r w:rsidR="009367C9" w:rsidRPr="00E63FD6">
        <w:rPr>
          <w:rFonts w:ascii="Arial" w:hAnsi="Arial" w:cs="Times New Roman"/>
          <w:color w:val="000000"/>
          <w:sz w:val="24"/>
          <w:szCs w:val="24"/>
        </w:rPr>
        <w:t xml:space="preserve"> Integration des Europäischen Bankensystems</w:t>
      </w:r>
      <w:r w:rsidR="00AD6E66" w:rsidRPr="00E63FD6">
        <w:rPr>
          <w:rFonts w:ascii="Arial" w:hAnsi="Arial" w:cs="Times New Roman"/>
          <w:color w:val="000000"/>
          <w:sz w:val="24"/>
          <w:szCs w:val="24"/>
        </w:rPr>
        <w:t xml:space="preserve"> bei. </w:t>
      </w:r>
      <w:r w:rsidR="00C72F10">
        <w:rPr>
          <w:rFonts w:ascii="Arial" w:hAnsi="Arial" w:cs="Times New Roman"/>
          <w:color w:val="000000"/>
          <w:sz w:val="24"/>
          <w:szCs w:val="24"/>
        </w:rPr>
        <w:t>Die rechtlichen Regelungen für die</w:t>
      </w:r>
      <w:r w:rsidR="00AD6E66" w:rsidRPr="00E63FD6">
        <w:rPr>
          <w:rFonts w:ascii="Arial" w:hAnsi="Arial" w:cs="Times New Roman"/>
          <w:color w:val="000000"/>
          <w:sz w:val="24"/>
          <w:szCs w:val="24"/>
        </w:rPr>
        <w:t xml:space="preserve"> „Bankenunion“ </w:t>
      </w:r>
      <w:r w:rsidR="00C72F10">
        <w:rPr>
          <w:rFonts w:ascii="Arial" w:hAnsi="Arial" w:cs="Times New Roman"/>
          <w:color w:val="000000"/>
          <w:sz w:val="24"/>
          <w:szCs w:val="24"/>
        </w:rPr>
        <w:t>werden</w:t>
      </w:r>
      <w:r w:rsidR="00AD6E66" w:rsidRPr="00E63FD6">
        <w:rPr>
          <w:rFonts w:ascii="Arial" w:hAnsi="Arial" w:cs="Times New Roman"/>
          <w:color w:val="000000"/>
          <w:sz w:val="24"/>
          <w:szCs w:val="24"/>
        </w:rPr>
        <w:t xml:space="preserve"> derzeit </w:t>
      </w:r>
      <w:r w:rsidR="00C72F10">
        <w:rPr>
          <w:rFonts w:ascii="Arial" w:hAnsi="Arial" w:cs="Times New Roman"/>
          <w:color w:val="000000"/>
          <w:sz w:val="24"/>
          <w:szCs w:val="24"/>
        </w:rPr>
        <w:t>finalisiert</w:t>
      </w:r>
      <w:r w:rsidR="00AD6E66" w:rsidRPr="00E63FD6">
        <w:rPr>
          <w:rFonts w:ascii="Arial" w:hAnsi="Arial" w:cs="Times New Roman"/>
          <w:color w:val="000000"/>
          <w:sz w:val="24"/>
          <w:szCs w:val="24"/>
        </w:rPr>
        <w:t>.</w:t>
      </w:r>
      <w:r w:rsidR="007F30E6" w:rsidRPr="00E63FD6">
        <w:rPr>
          <w:rFonts w:ascii="Arial" w:hAnsi="Arial" w:cs="Times New Roman"/>
          <w:color w:val="000000"/>
          <w:sz w:val="24"/>
          <w:szCs w:val="24"/>
        </w:rPr>
        <w:t xml:space="preserve"> </w:t>
      </w:r>
      <w:r w:rsidR="001E5363">
        <w:rPr>
          <w:rFonts w:ascii="Arial" w:hAnsi="Arial" w:cs="Times New Roman"/>
          <w:color w:val="000000"/>
          <w:sz w:val="24"/>
          <w:szCs w:val="24"/>
        </w:rPr>
        <w:t>Durch</w:t>
      </w:r>
      <w:r w:rsidR="008F6B93" w:rsidRPr="00E63FD6">
        <w:rPr>
          <w:rFonts w:ascii="Arial" w:hAnsi="Arial" w:cs="Times New Roman"/>
          <w:color w:val="000000"/>
          <w:sz w:val="24"/>
          <w:szCs w:val="24"/>
        </w:rPr>
        <w:t xml:space="preserve"> die Schaffung einer europäischen Bankenunion </w:t>
      </w:r>
      <w:r w:rsidR="001E5363">
        <w:rPr>
          <w:rFonts w:ascii="Arial" w:hAnsi="Arial" w:cs="Times New Roman"/>
          <w:color w:val="000000"/>
          <w:sz w:val="24"/>
          <w:szCs w:val="24"/>
        </w:rPr>
        <w:t xml:space="preserve">sollen </w:t>
      </w:r>
      <w:r w:rsidR="007F30E6" w:rsidRPr="00E63FD6">
        <w:rPr>
          <w:rFonts w:ascii="Arial" w:hAnsi="Arial" w:cs="Times New Roman"/>
          <w:color w:val="000000"/>
          <w:sz w:val="24"/>
          <w:szCs w:val="24"/>
        </w:rPr>
        <w:t>Bankenaufsicht, Einlagensicherun</w:t>
      </w:r>
      <w:r w:rsidR="00CD5DA9" w:rsidRPr="00E63FD6">
        <w:rPr>
          <w:rFonts w:ascii="Arial" w:hAnsi="Arial" w:cs="Times New Roman"/>
          <w:color w:val="000000"/>
          <w:sz w:val="24"/>
          <w:szCs w:val="24"/>
        </w:rPr>
        <w:t xml:space="preserve">g und Bankenabwicklung </w:t>
      </w:r>
      <w:r w:rsidR="00AD6E66" w:rsidRPr="00E63FD6">
        <w:rPr>
          <w:rFonts w:ascii="Arial" w:hAnsi="Arial" w:cs="Times New Roman"/>
          <w:color w:val="000000"/>
          <w:sz w:val="24"/>
          <w:szCs w:val="24"/>
        </w:rPr>
        <w:t>harmonisiert</w:t>
      </w:r>
      <w:r w:rsidR="00CD5DA9" w:rsidRPr="00E63FD6">
        <w:rPr>
          <w:rFonts w:ascii="Arial" w:hAnsi="Arial" w:cs="Times New Roman"/>
          <w:color w:val="000000"/>
          <w:sz w:val="24"/>
          <w:szCs w:val="24"/>
        </w:rPr>
        <w:t xml:space="preserve"> werden</w:t>
      </w:r>
      <w:r w:rsidR="007F30E6" w:rsidRPr="00E63FD6">
        <w:rPr>
          <w:rFonts w:ascii="Arial" w:hAnsi="Arial" w:cs="Times New Roman"/>
          <w:color w:val="000000"/>
          <w:sz w:val="24"/>
          <w:szCs w:val="24"/>
        </w:rPr>
        <w:t xml:space="preserve"> um</w:t>
      </w:r>
      <w:r w:rsidR="00935BFA" w:rsidRPr="00E63FD6">
        <w:rPr>
          <w:rFonts w:ascii="Arial" w:hAnsi="Arial" w:cs="Times New Roman"/>
          <w:color w:val="000000"/>
          <w:sz w:val="24"/>
          <w:szCs w:val="24"/>
        </w:rPr>
        <w:t xml:space="preserve"> in Zukunft</w:t>
      </w:r>
      <w:r w:rsidR="00CD5DA9" w:rsidRPr="00E63FD6">
        <w:rPr>
          <w:rFonts w:ascii="Arial" w:hAnsi="Arial" w:cs="Times New Roman"/>
          <w:color w:val="000000"/>
          <w:sz w:val="24"/>
          <w:szCs w:val="24"/>
        </w:rPr>
        <w:t xml:space="preserve"> zu vermeiden</w:t>
      </w:r>
      <w:r w:rsidR="007F30E6" w:rsidRPr="00E63FD6">
        <w:rPr>
          <w:rFonts w:ascii="Arial" w:hAnsi="Arial" w:cs="Times New Roman"/>
          <w:color w:val="000000"/>
          <w:sz w:val="24"/>
          <w:szCs w:val="24"/>
        </w:rPr>
        <w:t>, dass angeschlagene Banken Staaten in finanzielle Nöte bringen</w:t>
      </w:r>
      <w:r w:rsidR="00935BFA" w:rsidRPr="00E63FD6">
        <w:rPr>
          <w:rFonts w:ascii="Arial" w:hAnsi="Arial" w:cs="Times New Roman"/>
          <w:color w:val="000000"/>
          <w:sz w:val="24"/>
          <w:szCs w:val="24"/>
        </w:rPr>
        <w:t xml:space="preserve">. </w:t>
      </w:r>
      <w:r w:rsidR="00A84784" w:rsidRPr="00E63FD6">
        <w:rPr>
          <w:rFonts w:ascii="Arial" w:hAnsi="Arial" w:cs="Times New Roman"/>
          <w:color w:val="000000"/>
          <w:sz w:val="24"/>
          <w:szCs w:val="24"/>
        </w:rPr>
        <w:t>Die</w:t>
      </w:r>
      <w:r w:rsidR="00CD5DA9" w:rsidRPr="00E63FD6">
        <w:rPr>
          <w:rFonts w:ascii="Arial" w:hAnsi="Arial" w:cs="Times New Roman"/>
          <w:color w:val="000000"/>
          <w:sz w:val="24"/>
          <w:szCs w:val="24"/>
        </w:rPr>
        <w:t xml:space="preserve"> Maßnahmen zur Harmonisierung der Bankenaufsicht des CRD IV/CRR Pakets </w:t>
      </w:r>
      <w:r w:rsidR="00AD6E66" w:rsidRPr="00E63FD6">
        <w:rPr>
          <w:rFonts w:ascii="Arial" w:hAnsi="Arial" w:cs="Times New Roman"/>
          <w:color w:val="000000"/>
          <w:sz w:val="24"/>
          <w:szCs w:val="24"/>
        </w:rPr>
        <w:t>sind ein w</w:t>
      </w:r>
      <w:r w:rsidR="00A84784" w:rsidRPr="00E63FD6">
        <w:rPr>
          <w:rFonts w:ascii="Arial" w:hAnsi="Arial" w:cs="Times New Roman"/>
          <w:color w:val="000000"/>
          <w:sz w:val="24"/>
          <w:szCs w:val="24"/>
        </w:rPr>
        <w:t xml:space="preserve">ichtiger Schritt in Richtung </w:t>
      </w:r>
      <w:r w:rsidR="00AD6E66" w:rsidRPr="00E63FD6">
        <w:rPr>
          <w:rFonts w:ascii="Arial" w:hAnsi="Arial" w:cs="Times New Roman"/>
          <w:color w:val="000000"/>
          <w:sz w:val="24"/>
          <w:szCs w:val="24"/>
        </w:rPr>
        <w:t>Stabilisierung des europäischen Bankensystems.</w:t>
      </w:r>
    </w:p>
    <w:p w:rsidR="001408A9" w:rsidRDefault="001408A9" w:rsidP="008D47F3">
      <w:pPr>
        <w:spacing w:after="120"/>
        <w:jc w:val="both"/>
        <w:rPr>
          <w:rFonts w:ascii="Arial" w:hAnsi="Arial" w:cs="Times New Roman"/>
          <w:color w:val="000000"/>
          <w:sz w:val="24"/>
          <w:szCs w:val="24"/>
        </w:rPr>
      </w:pPr>
    </w:p>
    <w:p w:rsidR="001408A9" w:rsidRDefault="001408A9" w:rsidP="008D47F3">
      <w:pPr>
        <w:spacing w:after="120"/>
        <w:jc w:val="both"/>
        <w:rPr>
          <w:rFonts w:ascii="Arial" w:hAnsi="Arial" w:cs="Times New Roman"/>
          <w:color w:val="000000"/>
          <w:sz w:val="24"/>
          <w:szCs w:val="24"/>
        </w:rPr>
      </w:pPr>
    </w:p>
    <w:p w:rsidR="001408A9" w:rsidRDefault="001408A9" w:rsidP="008D47F3">
      <w:pPr>
        <w:spacing w:after="120"/>
        <w:jc w:val="both"/>
        <w:rPr>
          <w:rFonts w:ascii="Arial" w:hAnsi="Arial" w:cs="Times New Roman"/>
          <w:color w:val="000000"/>
          <w:sz w:val="24"/>
          <w:szCs w:val="24"/>
        </w:rPr>
      </w:pPr>
    </w:p>
    <w:p w:rsidR="001408A9" w:rsidRDefault="001408A9" w:rsidP="008D47F3">
      <w:pPr>
        <w:spacing w:after="120"/>
        <w:jc w:val="both"/>
        <w:rPr>
          <w:rFonts w:ascii="Arial" w:hAnsi="Arial" w:cs="Times New Roman"/>
          <w:color w:val="000000"/>
          <w:sz w:val="24"/>
          <w:szCs w:val="24"/>
        </w:rPr>
      </w:pPr>
    </w:p>
    <w:p w:rsidR="001408A9" w:rsidRDefault="001408A9" w:rsidP="008D47F3">
      <w:pPr>
        <w:spacing w:after="120"/>
        <w:jc w:val="both"/>
        <w:rPr>
          <w:rFonts w:ascii="Arial" w:hAnsi="Arial" w:cs="Times New Roman"/>
          <w:i/>
          <w:color w:val="000000"/>
          <w:sz w:val="24"/>
          <w:szCs w:val="24"/>
        </w:rPr>
      </w:pPr>
    </w:p>
    <w:p w:rsidR="001408A9" w:rsidRPr="001408A9" w:rsidRDefault="001408A9" w:rsidP="008D47F3">
      <w:pPr>
        <w:spacing w:after="120"/>
        <w:jc w:val="both"/>
        <w:rPr>
          <w:rFonts w:ascii="Arial" w:hAnsi="Arial" w:cs="Times New Roman"/>
          <w:i/>
          <w:color w:val="000000"/>
          <w:sz w:val="24"/>
          <w:szCs w:val="24"/>
        </w:rPr>
      </w:pPr>
      <w:r w:rsidRPr="001408A9">
        <w:rPr>
          <w:rFonts w:ascii="Arial" w:hAnsi="Arial" w:cs="Times New Roman"/>
          <w:i/>
          <w:color w:val="000000"/>
          <w:sz w:val="24"/>
          <w:szCs w:val="24"/>
        </w:rPr>
        <w:lastRenderedPageBreak/>
        <w:t>Folgende Graphik gibt die bisherigen Maßnahmen zur Stabilisierung des Euro anschaulich wieder:</w:t>
      </w:r>
    </w:p>
    <w:p w:rsidR="001408A9" w:rsidRDefault="001408A9" w:rsidP="008D47F3">
      <w:pPr>
        <w:spacing w:after="120"/>
        <w:jc w:val="both"/>
        <w:rPr>
          <w:rFonts w:ascii="Arial" w:hAnsi="Arial" w:cs="Times New Roman"/>
          <w:color w:val="000000"/>
          <w:sz w:val="24"/>
          <w:szCs w:val="24"/>
        </w:rPr>
      </w:pPr>
    </w:p>
    <w:p w:rsidR="001408A9" w:rsidRDefault="001408A9" w:rsidP="001408A9">
      <w:r>
        <w:rPr>
          <w:noProof/>
          <w:lang w:eastAsia="de-AT"/>
        </w:rPr>
        <mc:AlternateContent>
          <mc:Choice Requires="wps">
            <w:drawing>
              <wp:anchor distT="0" distB="0" distL="114300" distR="114300" simplePos="0" relativeHeight="251662336" behindDoc="0" locked="0" layoutInCell="1" allowOverlap="1" wp14:anchorId="4C4EECC7" wp14:editId="0ADE7027">
                <wp:simplePos x="0" y="0"/>
                <wp:positionH relativeFrom="column">
                  <wp:posOffset>-174956</wp:posOffset>
                </wp:positionH>
                <wp:positionV relativeFrom="paragraph">
                  <wp:posOffset>-86995</wp:posOffset>
                </wp:positionV>
                <wp:extent cx="6424654" cy="985520"/>
                <wp:effectExtent l="57150" t="38100" r="71755" b="100330"/>
                <wp:wrapNone/>
                <wp:docPr id="18" name="Abgerundetes Rechteck 18"/>
                <wp:cNvGraphicFramePr/>
                <a:graphic xmlns:a="http://schemas.openxmlformats.org/drawingml/2006/main">
                  <a:graphicData uri="http://schemas.microsoft.com/office/word/2010/wordprocessingShape">
                    <wps:wsp>
                      <wps:cNvSpPr/>
                      <wps:spPr>
                        <a:xfrm>
                          <a:off x="0" y="0"/>
                          <a:ext cx="6424654" cy="985520"/>
                        </a:xfrm>
                        <a:prstGeom prst="roundRect">
                          <a:avLst/>
                        </a:prstGeom>
                        <a:solidFill>
                          <a:srgbClr val="FFFF99"/>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C72F10" w:rsidRDefault="00C72F10" w:rsidP="001408A9">
                            <w:pPr>
                              <w:jc w:val="center"/>
                              <w:rPr>
                                <w:sz w:val="52"/>
                                <w:szCs w:val="52"/>
                              </w:rPr>
                            </w:pPr>
                            <w:r w:rsidRPr="00352F75">
                              <w:rPr>
                                <w:sz w:val="52"/>
                                <w:szCs w:val="52"/>
                              </w:rPr>
                              <w:t>Stabilisierung des Euro</w:t>
                            </w:r>
                          </w:p>
                          <w:p w:rsidR="00C72F10" w:rsidRPr="00993488" w:rsidRDefault="00C72F10" w:rsidP="001408A9">
                            <w:pPr>
                              <w:jc w:val="center"/>
                              <w:rPr>
                                <w:rFonts w:ascii="Arial" w:hAnsi="Arial" w:cs="Arial"/>
                                <w:sz w:val="24"/>
                                <w:szCs w:val="24"/>
                              </w:rPr>
                            </w:pPr>
                            <w:r w:rsidRPr="00993488">
                              <w:rPr>
                                <w:rFonts w:ascii="Arial" w:hAnsi="Arial" w:cs="Arial"/>
                                <w:sz w:val="24"/>
                                <w:szCs w:val="24"/>
                              </w:rPr>
                              <w:t>durch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8" o:spid="_x0000_s1026" style="position:absolute;margin-left:-13.8pt;margin-top:-6.85pt;width:505.9pt;height:7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" fillcolor="#ff9" strokecolor="black [3213]">
                <v:shadow on="t" color="black" opacity="24903f" origin=",.5" offset="0,.55556mm"/>
                <v:textbox>
                  <w:txbxContent>
                    <w:p w:rsidR="00C72F10" w:rsidRDefault="00C72F10" w:rsidP="001408A9">
                      <w:pPr>
                        <w:jc w:val="center"/>
                        <w:rPr>
                          <w:sz w:val="52"/>
                          <w:szCs w:val="52"/>
                        </w:rPr>
                      </w:pPr>
                      <w:r w:rsidRPr="00352F75">
                        <w:rPr>
                          <w:sz w:val="52"/>
                          <w:szCs w:val="52"/>
                        </w:rPr>
                        <w:t>Stabilisierung des Euro</w:t>
                      </w:r>
                    </w:p>
                    <w:p w:rsidR="00C72F10" w:rsidRPr="00993488" w:rsidRDefault="00C72F10" w:rsidP="001408A9">
                      <w:pPr>
                        <w:jc w:val="center"/>
                        <w:rPr>
                          <w:rFonts w:ascii="Arial" w:hAnsi="Arial" w:cs="Arial"/>
                          <w:sz w:val="24"/>
                          <w:szCs w:val="24"/>
                        </w:rPr>
                      </w:pPr>
                      <w:r w:rsidRPr="00993488">
                        <w:rPr>
                          <w:rFonts w:ascii="Arial" w:hAnsi="Arial" w:cs="Arial"/>
                          <w:sz w:val="24"/>
                          <w:szCs w:val="24"/>
                        </w:rPr>
                        <w:t>durch</w:t>
                      </w:r>
                    </w:p>
                  </w:txbxContent>
                </v:textbox>
              </v:roundrect>
            </w:pict>
          </mc:Fallback>
        </mc:AlternateContent>
      </w:r>
    </w:p>
    <w:p w:rsidR="001408A9" w:rsidRDefault="001408A9" w:rsidP="001408A9"/>
    <w:p w:rsidR="001408A9" w:rsidRDefault="001408A9" w:rsidP="001408A9"/>
    <w:p w:rsidR="001408A9" w:rsidRDefault="00B0289B" w:rsidP="001408A9">
      <w:pPr>
        <w:rPr>
          <w:rFonts w:ascii="Arial" w:hAnsi="Arial" w:cs="Arial"/>
        </w:rPr>
      </w:pPr>
      <w:r w:rsidRPr="00993488">
        <w:rPr>
          <w:rFonts w:ascii="Arial" w:hAnsi="Arial" w:cs="Arial"/>
          <w:noProof/>
          <w:lang w:eastAsia="de-AT"/>
        </w:rPr>
        <mc:AlternateContent>
          <mc:Choice Requires="wps">
            <w:drawing>
              <wp:anchor distT="0" distB="0" distL="114300" distR="114300" simplePos="0" relativeHeight="251661312" behindDoc="0" locked="0" layoutInCell="1" allowOverlap="1" wp14:anchorId="4A86F11A" wp14:editId="35DC6024">
                <wp:simplePos x="0" y="0"/>
                <wp:positionH relativeFrom="column">
                  <wp:posOffset>4293997</wp:posOffset>
                </wp:positionH>
                <wp:positionV relativeFrom="paragraph">
                  <wp:posOffset>2269616</wp:posOffset>
                </wp:positionV>
                <wp:extent cx="1550822" cy="2193849"/>
                <wp:effectExtent l="57150" t="38100" r="68580" b="92710"/>
                <wp:wrapNone/>
                <wp:docPr id="17" name="Abgerundetes Rechteck 17"/>
                <wp:cNvGraphicFramePr/>
                <a:graphic xmlns:a="http://schemas.openxmlformats.org/drawingml/2006/main">
                  <a:graphicData uri="http://schemas.microsoft.com/office/word/2010/wordprocessingShape">
                    <wps:wsp>
                      <wps:cNvSpPr/>
                      <wps:spPr>
                        <a:xfrm>
                          <a:off x="0" y="0"/>
                          <a:ext cx="1550822" cy="219384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72F10" w:rsidRPr="00DF5BF9" w:rsidRDefault="00C72F10" w:rsidP="001408A9">
                            <w:pPr>
                              <w:pStyle w:val="Listenabsatz"/>
                              <w:numPr>
                                <w:ilvl w:val="0"/>
                                <w:numId w:val="4"/>
                              </w:numPr>
                              <w:spacing w:after="200" w:line="276" w:lineRule="auto"/>
                              <w:ind w:left="0" w:hanging="142"/>
                              <w:rPr>
                                <w:sz w:val="20"/>
                                <w:szCs w:val="20"/>
                              </w:rPr>
                            </w:pPr>
                            <w:r w:rsidRPr="00DF5BF9">
                              <w:rPr>
                                <w:sz w:val="20"/>
                                <w:szCs w:val="20"/>
                              </w:rPr>
                              <w:t>EZB-Geldpolitik</w:t>
                            </w:r>
                          </w:p>
                          <w:p w:rsidR="00C72F10" w:rsidRPr="00DF5BF9" w:rsidRDefault="00C72F10" w:rsidP="001408A9">
                            <w:pPr>
                              <w:pStyle w:val="Listenabsatz"/>
                              <w:numPr>
                                <w:ilvl w:val="0"/>
                                <w:numId w:val="4"/>
                              </w:numPr>
                              <w:spacing w:after="200" w:line="276" w:lineRule="auto"/>
                              <w:ind w:left="0" w:hanging="142"/>
                              <w:rPr>
                                <w:sz w:val="20"/>
                                <w:szCs w:val="20"/>
                              </w:rPr>
                            </w:pPr>
                            <w:proofErr w:type="spellStart"/>
                            <w:r w:rsidRPr="00DF5BF9">
                              <w:rPr>
                                <w:sz w:val="20"/>
                                <w:szCs w:val="20"/>
                              </w:rPr>
                              <w:t>Europ</w:t>
                            </w:r>
                            <w:proofErr w:type="spellEnd"/>
                            <w:r w:rsidRPr="00DF5BF9">
                              <w:rPr>
                                <w:sz w:val="20"/>
                                <w:szCs w:val="20"/>
                              </w:rPr>
                              <w:t xml:space="preserve">. Finanzaufsichts-system; gemeinsame  </w:t>
                            </w:r>
                            <w:proofErr w:type="spellStart"/>
                            <w:r w:rsidRPr="00DF5BF9">
                              <w:rPr>
                                <w:sz w:val="20"/>
                                <w:szCs w:val="20"/>
                              </w:rPr>
                              <w:t>europ</w:t>
                            </w:r>
                            <w:proofErr w:type="spellEnd"/>
                            <w:r w:rsidRPr="00DF5BF9">
                              <w:rPr>
                                <w:sz w:val="20"/>
                                <w:szCs w:val="20"/>
                              </w:rPr>
                              <w:t>.</w:t>
                            </w:r>
                            <w:r>
                              <w:rPr>
                                <w:sz w:val="20"/>
                                <w:szCs w:val="20"/>
                              </w:rPr>
                              <w:t xml:space="preserve"> Bankaufsicht; </w:t>
                            </w:r>
                            <w:r w:rsidRPr="00DF5BF9">
                              <w:rPr>
                                <w:sz w:val="20"/>
                                <w:szCs w:val="20"/>
                              </w:rPr>
                              <w:t xml:space="preserve"> weitere Elemente der Bankenunion; </w:t>
                            </w:r>
                          </w:p>
                          <w:p w:rsidR="00C72F10" w:rsidRPr="00DF5BF9" w:rsidRDefault="00C72F10" w:rsidP="001408A9">
                            <w:pPr>
                              <w:pStyle w:val="Listenabsatz"/>
                              <w:numPr>
                                <w:ilvl w:val="0"/>
                                <w:numId w:val="4"/>
                              </w:numPr>
                              <w:spacing w:after="200" w:line="276" w:lineRule="auto"/>
                              <w:ind w:left="0" w:hanging="142"/>
                              <w:rPr>
                                <w:sz w:val="20"/>
                                <w:szCs w:val="20"/>
                              </w:rPr>
                            </w:pPr>
                            <w:r w:rsidRPr="00DF5BF9">
                              <w:rPr>
                                <w:i/>
                                <w:sz w:val="20"/>
                                <w:szCs w:val="20"/>
                              </w:rPr>
                              <w:t xml:space="preserve">Single </w:t>
                            </w:r>
                            <w:proofErr w:type="spellStart"/>
                            <w:r w:rsidRPr="00DF5BF9">
                              <w:rPr>
                                <w:i/>
                                <w:sz w:val="20"/>
                                <w:szCs w:val="20"/>
                              </w:rPr>
                              <w:t>Rule</w:t>
                            </w:r>
                            <w:proofErr w:type="spellEnd"/>
                            <w:r w:rsidRPr="00DF5BF9">
                              <w:rPr>
                                <w:i/>
                                <w:sz w:val="20"/>
                                <w:szCs w:val="20"/>
                              </w:rPr>
                              <w:t xml:space="preserve"> Book</w:t>
                            </w:r>
                            <w:r w:rsidRPr="00DF5BF9">
                              <w:rPr>
                                <w:sz w:val="20"/>
                                <w:szCs w:val="20"/>
                              </w:rPr>
                              <w:t xml:space="preserve"> (Harmonisierung  des  EU-Bankenaufsichts</w:t>
                            </w:r>
                            <w:r>
                              <w:rPr>
                                <w:sz w:val="20"/>
                                <w:szCs w:val="20"/>
                              </w:rPr>
                              <w:t>-</w:t>
                            </w:r>
                            <w:r w:rsidRPr="00DF5BF9">
                              <w:rPr>
                                <w:sz w:val="20"/>
                                <w:szCs w:val="20"/>
                              </w:rPr>
                              <w:t>rechts, inkl. CRD IV/</w:t>
                            </w:r>
                            <w:r>
                              <w:rPr>
                                <w:sz w:val="20"/>
                                <w:szCs w:val="20"/>
                              </w:rPr>
                              <w:t xml:space="preserve"> </w:t>
                            </w:r>
                            <w:r w:rsidRPr="00DF5BF9">
                              <w:rPr>
                                <w:sz w:val="20"/>
                                <w:szCs w:val="20"/>
                              </w:rPr>
                              <w:t>CRRI)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7" o:spid="_x0000_s1027" style="position:absolute;margin-left:338.1pt;margin-top:178.7pt;width:122.1pt;height:1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" fillcolor="#a7bfde [1620]" strokecolor="#4579b8 [3044]">
                <v:fill color2="#e4ecf5 [500]" rotate="t" angle="180" colors="0 #a3c4ff;22938f #bfd5ff;1 #e5eeff" focus="100%" type="gradient"/>
                <v:shadow on="t" color="black" opacity="24903f" origin=",.5" offset="0,.55556mm"/>
                <v:textbox>
                  <w:txbxContent>
                    <w:p w:rsidR="00C72F10" w:rsidRPr="00DF5BF9" w:rsidRDefault="00C72F10" w:rsidP="001408A9">
                      <w:pPr>
                        <w:pStyle w:val="Listenabsatz"/>
                        <w:numPr>
                          <w:ilvl w:val="0"/>
                          <w:numId w:val="4"/>
                        </w:numPr>
                        <w:spacing w:after="200" w:line="276" w:lineRule="auto"/>
                        <w:ind w:left="0" w:hanging="142"/>
                        <w:rPr>
                          <w:sz w:val="20"/>
                          <w:szCs w:val="20"/>
                        </w:rPr>
                      </w:pPr>
                      <w:r w:rsidRPr="00DF5BF9">
                        <w:rPr>
                          <w:sz w:val="20"/>
                          <w:szCs w:val="20"/>
                        </w:rPr>
                        <w:t>EZB-Geldpolitik</w:t>
                      </w:r>
                    </w:p>
                    <w:p w:rsidR="00C72F10" w:rsidRPr="00DF5BF9" w:rsidRDefault="00C72F10" w:rsidP="001408A9">
                      <w:pPr>
                        <w:pStyle w:val="Listenabsatz"/>
                        <w:numPr>
                          <w:ilvl w:val="0"/>
                          <w:numId w:val="4"/>
                        </w:numPr>
                        <w:spacing w:after="200" w:line="276" w:lineRule="auto"/>
                        <w:ind w:left="0" w:hanging="142"/>
                        <w:rPr>
                          <w:sz w:val="20"/>
                          <w:szCs w:val="20"/>
                        </w:rPr>
                      </w:pPr>
                      <w:proofErr w:type="spellStart"/>
                      <w:r w:rsidRPr="00DF5BF9">
                        <w:rPr>
                          <w:sz w:val="20"/>
                          <w:szCs w:val="20"/>
                        </w:rPr>
                        <w:t>Europ</w:t>
                      </w:r>
                      <w:proofErr w:type="spellEnd"/>
                      <w:r w:rsidRPr="00DF5BF9">
                        <w:rPr>
                          <w:sz w:val="20"/>
                          <w:szCs w:val="20"/>
                        </w:rPr>
                        <w:t xml:space="preserve">. Finanzaufsichts-system; gemeinsame  </w:t>
                      </w:r>
                      <w:proofErr w:type="spellStart"/>
                      <w:r w:rsidRPr="00DF5BF9">
                        <w:rPr>
                          <w:sz w:val="20"/>
                          <w:szCs w:val="20"/>
                        </w:rPr>
                        <w:t>europ</w:t>
                      </w:r>
                      <w:proofErr w:type="spellEnd"/>
                      <w:r w:rsidRPr="00DF5BF9">
                        <w:rPr>
                          <w:sz w:val="20"/>
                          <w:szCs w:val="20"/>
                        </w:rPr>
                        <w:t>.</w:t>
                      </w:r>
                      <w:r>
                        <w:rPr>
                          <w:sz w:val="20"/>
                          <w:szCs w:val="20"/>
                        </w:rPr>
                        <w:t xml:space="preserve"> Bankaufsicht; </w:t>
                      </w:r>
                      <w:r w:rsidRPr="00DF5BF9">
                        <w:rPr>
                          <w:sz w:val="20"/>
                          <w:szCs w:val="20"/>
                        </w:rPr>
                        <w:t xml:space="preserve"> weitere Elemente der Bankenunion; </w:t>
                      </w:r>
                    </w:p>
                    <w:p w:rsidR="00C72F10" w:rsidRPr="00DF5BF9" w:rsidRDefault="00C72F10" w:rsidP="001408A9">
                      <w:pPr>
                        <w:pStyle w:val="Listenabsatz"/>
                        <w:numPr>
                          <w:ilvl w:val="0"/>
                          <w:numId w:val="4"/>
                        </w:numPr>
                        <w:spacing w:after="200" w:line="276" w:lineRule="auto"/>
                        <w:ind w:left="0" w:hanging="142"/>
                        <w:rPr>
                          <w:sz w:val="20"/>
                          <w:szCs w:val="20"/>
                        </w:rPr>
                      </w:pPr>
                      <w:r w:rsidRPr="00DF5BF9">
                        <w:rPr>
                          <w:i/>
                          <w:sz w:val="20"/>
                          <w:szCs w:val="20"/>
                        </w:rPr>
                        <w:t xml:space="preserve">Single </w:t>
                      </w:r>
                      <w:proofErr w:type="spellStart"/>
                      <w:r w:rsidRPr="00DF5BF9">
                        <w:rPr>
                          <w:i/>
                          <w:sz w:val="20"/>
                          <w:szCs w:val="20"/>
                        </w:rPr>
                        <w:t>Rule</w:t>
                      </w:r>
                      <w:proofErr w:type="spellEnd"/>
                      <w:r w:rsidRPr="00DF5BF9">
                        <w:rPr>
                          <w:i/>
                          <w:sz w:val="20"/>
                          <w:szCs w:val="20"/>
                        </w:rPr>
                        <w:t xml:space="preserve"> Book</w:t>
                      </w:r>
                      <w:r w:rsidRPr="00DF5BF9">
                        <w:rPr>
                          <w:sz w:val="20"/>
                          <w:szCs w:val="20"/>
                        </w:rPr>
                        <w:t xml:space="preserve"> (Harmonisierung  des  EU-Bankenaufsichts</w:t>
                      </w:r>
                      <w:r>
                        <w:rPr>
                          <w:sz w:val="20"/>
                          <w:szCs w:val="20"/>
                        </w:rPr>
                        <w:t>-</w:t>
                      </w:r>
                      <w:r w:rsidRPr="00DF5BF9">
                        <w:rPr>
                          <w:sz w:val="20"/>
                          <w:szCs w:val="20"/>
                        </w:rPr>
                        <w:t>rechts, inkl. CRD IV/</w:t>
                      </w:r>
                      <w:r>
                        <w:rPr>
                          <w:sz w:val="20"/>
                          <w:szCs w:val="20"/>
                        </w:rPr>
                        <w:t xml:space="preserve"> </w:t>
                      </w:r>
                      <w:r w:rsidRPr="00DF5BF9">
                        <w:rPr>
                          <w:sz w:val="20"/>
                          <w:szCs w:val="20"/>
                        </w:rPr>
                        <w:t>CRRI)</w:t>
                      </w:r>
                    </w:p>
                  </w:txbxContent>
                </v:textbox>
              </v:roundrect>
            </w:pict>
          </mc:Fallback>
        </mc:AlternateContent>
      </w:r>
      <w:r w:rsidRPr="00993488">
        <w:rPr>
          <w:rFonts w:ascii="Arial" w:hAnsi="Arial" w:cs="Arial"/>
          <w:noProof/>
          <w:lang w:eastAsia="de-AT"/>
        </w:rPr>
        <mc:AlternateContent>
          <mc:Choice Requires="wps">
            <w:drawing>
              <wp:anchor distT="0" distB="0" distL="114300" distR="114300" simplePos="0" relativeHeight="251660288" behindDoc="0" locked="0" layoutInCell="1" allowOverlap="1" wp14:anchorId="7E02A623" wp14:editId="46AC881F">
                <wp:simplePos x="0" y="0"/>
                <wp:positionH relativeFrom="column">
                  <wp:posOffset>2194535</wp:posOffset>
                </wp:positionH>
                <wp:positionV relativeFrom="paragraph">
                  <wp:posOffset>2306193</wp:posOffset>
                </wp:positionV>
                <wp:extent cx="1550035" cy="1974037"/>
                <wp:effectExtent l="57150" t="38100" r="69215" b="102870"/>
                <wp:wrapNone/>
                <wp:docPr id="16" name="Abgerundetes Rechteck 16"/>
                <wp:cNvGraphicFramePr/>
                <a:graphic xmlns:a="http://schemas.openxmlformats.org/drawingml/2006/main">
                  <a:graphicData uri="http://schemas.microsoft.com/office/word/2010/wordprocessingShape">
                    <wps:wsp>
                      <wps:cNvSpPr/>
                      <wps:spPr>
                        <a:xfrm>
                          <a:off x="0" y="0"/>
                          <a:ext cx="1550035" cy="197403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72F10" w:rsidRPr="00B0289B" w:rsidRDefault="00C72F10" w:rsidP="001408A9">
                            <w:pPr>
                              <w:pStyle w:val="Listenabsatz"/>
                              <w:numPr>
                                <w:ilvl w:val="0"/>
                                <w:numId w:val="3"/>
                              </w:numPr>
                              <w:spacing w:after="200" w:line="276" w:lineRule="auto"/>
                              <w:ind w:left="142" w:hanging="284"/>
                              <w:rPr>
                                <w:sz w:val="22"/>
                                <w:szCs w:val="22"/>
                              </w:rPr>
                            </w:pPr>
                            <w:r w:rsidRPr="00B0289B">
                              <w:rPr>
                                <w:sz w:val="22"/>
                                <w:szCs w:val="22"/>
                              </w:rPr>
                              <w:t>Europa 2020</w:t>
                            </w:r>
                          </w:p>
                          <w:p w:rsidR="00C72F10" w:rsidRPr="00B0289B" w:rsidRDefault="00C72F10" w:rsidP="001408A9">
                            <w:pPr>
                              <w:pStyle w:val="Listenabsatz"/>
                              <w:numPr>
                                <w:ilvl w:val="0"/>
                                <w:numId w:val="3"/>
                              </w:numPr>
                              <w:spacing w:after="200" w:line="276" w:lineRule="auto"/>
                              <w:ind w:left="142" w:hanging="284"/>
                              <w:rPr>
                                <w:sz w:val="22"/>
                                <w:szCs w:val="22"/>
                              </w:rPr>
                            </w:pPr>
                            <w:r w:rsidRPr="00B0289B">
                              <w:rPr>
                                <w:sz w:val="22"/>
                                <w:szCs w:val="22"/>
                              </w:rPr>
                              <w:t>Euro-Plus-Pakt</w:t>
                            </w:r>
                          </w:p>
                          <w:p w:rsidR="00C72F10" w:rsidRPr="00B0289B" w:rsidRDefault="00C72F10" w:rsidP="001408A9">
                            <w:pPr>
                              <w:pStyle w:val="Listenabsatz"/>
                              <w:numPr>
                                <w:ilvl w:val="0"/>
                                <w:numId w:val="3"/>
                              </w:numPr>
                              <w:spacing w:after="200" w:line="276" w:lineRule="auto"/>
                              <w:ind w:left="142" w:hanging="284"/>
                              <w:rPr>
                                <w:sz w:val="22"/>
                                <w:szCs w:val="22"/>
                              </w:rPr>
                            </w:pPr>
                            <w:r w:rsidRPr="00B0289B">
                              <w:rPr>
                                <w:sz w:val="22"/>
                                <w:szCs w:val="22"/>
                              </w:rPr>
                              <w:t>Makro-ökonomisches Ungleichgewichte-verfahren</w:t>
                            </w:r>
                          </w:p>
                          <w:p w:rsidR="00C72F10" w:rsidRPr="00B0289B" w:rsidRDefault="00C72F10" w:rsidP="001408A9">
                            <w:pPr>
                              <w:pStyle w:val="Listenabsatz"/>
                              <w:numPr>
                                <w:ilvl w:val="0"/>
                                <w:numId w:val="3"/>
                              </w:numPr>
                              <w:spacing w:after="200" w:line="276" w:lineRule="auto"/>
                              <w:ind w:left="142" w:hanging="284"/>
                              <w:rPr>
                                <w:sz w:val="22"/>
                                <w:szCs w:val="22"/>
                              </w:rPr>
                            </w:pPr>
                            <w:r w:rsidRPr="00B0289B">
                              <w:rPr>
                                <w:sz w:val="22"/>
                                <w:szCs w:val="22"/>
                              </w:rPr>
                              <w:t>Pakt für Wachstum und Beschäftigung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6" o:spid="_x0000_s1028" style="position:absolute;margin-left:172.8pt;margin-top:181.6pt;width:122.05pt;height:15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" fillcolor="#a7bfde [1620]" strokecolor="#4579b8 [3044]">
                <v:fill color2="#e4ecf5 [500]" rotate="t" angle="180" colors="0 #a3c4ff;22938f #bfd5ff;1 #e5eeff" focus="100%" type="gradient"/>
                <v:shadow on="t" color="black" opacity="24903f" origin=",.5" offset="0,.55556mm"/>
                <v:textbox>
                  <w:txbxContent>
                    <w:p w:rsidR="00C72F10" w:rsidRPr="00B0289B" w:rsidRDefault="00C72F10" w:rsidP="001408A9">
                      <w:pPr>
                        <w:pStyle w:val="Listenabsatz"/>
                        <w:numPr>
                          <w:ilvl w:val="0"/>
                          <w:numId w:val="3"/>
                        </w:numPr>
                        <w:spacing w:after="200" w:line="276" w:lineRule="auto"/>
                        <w:ind w:left="142" w:hanging="284"/>
                        <w:rPr>
                          <w:sz w:val="22"/>
                          <w:szCs w:val="22"/>
                        </w:rPr>
                      </w:pPr>
                      <w:r w:rsidRPr="00B0289B">
                        <w:rPr>
                          <w:sz w:val="22"/>
                          <w:szCs w:val="22"/>
                        </w:rPr>
                        <w:t>Europa 2020</w:t>
                      </w:r>
                    </w:p>
                    <w:p w:rsidR="00C72F10" w:rsidRPr="00B0289B" w:rsidRDefault="00C72F10" w:rsidP="001408A9">
                      <w:pPr>
                        <w:pStyle w:val="Listenabsatz"/>
                        <w:numPr>
                          <w:ilvl w:val="0"/>
                          <w:numId w:val="3"/>
                        </w:numPr>
                        <w:spacing w:after="200" w:line="276" w:lineRule="auto"/>
                        <w:ind w:left="142" w:hanging="284"/>
                        <w:rPr>
                          <w:sz w:val="22"/>
                          <w:szCs w:val="22"/>
                        </w:rPr>
                      </w:pPr>
                      <w:r w:rsidRPr="00B0289B">
                        <w:rPr>
                          <w:sz w:val="22"/>
                          <w:szCs w:val="22"/>
                        </w:rPr>
                        <w:t>Euro-Plus-Pakt</w:t>
                      </w:r>
                    </w:p>
                    <w:p w:rsidR="00C72F10" w:rsidRPr="00B0289B" w:rsidRDefault="00C72F10" w:rsidP="001408A9">
                      <w:pPr>
                        <w:pStyle w:val="Listenabsatz"/>
                        <w:numPr>
                          <w:ilvl w:val="0"/>
                          <w:numId w:val="3"/>
                        </w:numPr>
                        <w:spacing w:after="200" w:line="276" w:lineRule="auto"/>
                        <w:ind w:left="142" w:hanging="284"/>
                        <w:rPr>
                          <w:sz w:val="22"/>
                          <w:szCs w:val="22"/>
                        </w:rPr>
                      </w:pPr>
                      <w:r w:rsidRPr="00B0289B">
                        <w:rPr>
                          <w:sz w:val="22"/>
                          <w:szCs w:val="22"/>
                        </w:rPr>
                        <w:t>Makro-ökonomisches Ungleichgewichte-verfahren</w:t>
                      </w:r>
                    </w:p>
                    <w:p w:rsidR="00C72F10" w:rsidRPr="00B0289B" w:rsidRDefault="00C72F10" w:rsidP="001408A9">
                      <w:pPr>
                        <w:pStyle w:val="Listenabsatz"/>
                        <w:numPr>
                          <w:ilvl w:val="0"/>
                          <w:numId w:val="3"/>
                        </w:numPr>
                        <w:spacing w:after="200" w:line="276" w:lineRule="auto"/>
                        <w:ind w:left="142" w:hanging="284"/>
                        <w:rPr>
                          <w:sz w:val="22"/>
                          <w:szCs w:val="22"/>
                        </w:rPr>
                      </w:pPr>
                      <w:r w:rsidRPr="00B0289B">
                        <w:rPr>
                          <w:sz w:val="22"/>
                          <w:szCs w:val="22"/>
                        </w:rPr>
                        <w:t>Pakt für Wachstum und Beschäftigung</w:t>
                      </w:r>
                    </w:p>
                  </w:txbxContent>
                </v:textbox>
              </v:roundrect>
            </w:pict>
          </mc:Fallback>
        </mc:AlternateContent>
      </w:r>
      <w:r w:rsidRPr="00993488">
        <w:rPr>
          <w:rFonts w:ascii="Arial" w:hAnsi="Arial" w:cs="Arial"/>
          <w:noProof/>
          <w:lang w:eastAsia="de-AT"/>
        </w:rPr>
        <mc:AlternateContent>
          <mc:Choice Requires="wps">
            <w:drawing>
              <wp:anchor distT="0" distB="0" distL="114300" distR="114300" simplePos="0" relativeHeight="251659264" behindDoc="0" locked="0" layoutInCell="1" allowOverlap="1" wp14:anchorId="63EEED65" wp14:editId="60161741">
                <wp:simplePos x="0" y="0"/>
                <wp:positionH relativeFrom="column">
                  <wp:posOffset>160909</wp:posOffset>
                </wp:positionH>
                <wp:positionV relativeFrom="paragraph">
                  <wp:posOffset>2269618</wp:posOffset>
                </wp:positionV>
                <wp:extent cx="1550035" cy="2011248"/>
                <wp:effectExtent l="57150" t="38100" r="69215" b="103505"/>
                <wp:wrapNone/>
                <wp:docPr id="15" name="Abgerundetes Rechteck 15"/>
                <wp:cNvGraphicFramePr/>
                <a:graphic xmlns:a="http://schemas.openxmlformats.org/drawingml/2006/main">
                  <a:graphicData uri="http://schemas.microsoft.com/office/word/2010/wordprocessingShape">
                    <wps:wsp>
                      <wps:cNvSpPr/>
                      <wps:spPr>
                        <a:xfrm>
                          <a:off x="0" y="0"/>
                          <a:ext cx="1550035" cy="201124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72F10" w:rsidRPr="00B0289B" w:rsidRDefault="00C72F10" w:rsidP="001408A9">
                            <w:pPr>
                              <w:pStyle w:val="Listenabsatz"/>
                              <w:numPr>
                                <w:ilvl w:val="0"/>
                                <w:numId w:val="2"/>
                              </w:numPr>
                              <w:spacing w:after="200" w:line="276" w:lineRule="auto"/>
                              <w:ind w:left="142" w:hanging="284"/>
                              <w:rPr>
                                <w:sz w:val="22"/>
                                <w:szCs w:val="22"/>
                              </w:rPr>
                            </w:pPr>
                            <w:r w:rsidRPr="00B0289B">
                              <w:rPr>
                                <w:sz w:val="22"/>
                                <w:szCs w:val="22"/>
                              </w:rPr>
                              <w:t>Europäisches Semester</w:t>
                            </w:r>
                          </w:p>
                          <w:p w:rsidR="00C72F10" w:rsidRPr="00B0289B" w:rsidRDefault="00C72F10" w:rsidP="001408A9">
                            <w:pPr>
                              <w:pStyle w:val="Listenabsatz"/>
                              <w:numPr>
                                <w:ilvl w:val="0"/>
                                <w:numId w:val="2"/>
                              </w:numPr>
                              <w:spacing w:after="200" w:line="276" w:lineRule="auto"/>
                              <w:ind w:left="142" w:hanging="284"/>
                              <w:rPr>
                                <w:sz w:val="22"/>
                                <w:szCs w:val="22"/>
                              </w:rPr>
                            </w:pPr>
                            <w:r w:rsidRPr="00B0289B">
                              <w:rPr>
                                <w:sz w:val="22"/>
                                <w:szCs w:val="22"/>
                              </w:rPr>
                              <w:t xml:space="preserve">Stabilitäts- und Wachstumspakt (Sixpack, </w:t>
                            </w:r>
                            <w:proofErr w:type="spellStart"/>
                            <w:r w:rsidRPr="00B0289B">
                              <w:rPr>
                                <w:sz w:val="22"/>
                                <w:szCs w:val="22"/>
                              </w:rPr>
                              <w:t>Twopack</w:t>
                            </w:r>
                            <w:proofErr w:type="spellEnd"/>
                            <w:r w:rsidRPr="00B0289B">
                              <w:rPr>
                                <w:sz w:val="22"/>
                                <w:szCs w:val="22"/>
                              </w:rPr>
                              <w:t xml:space="preserve"> ) </w:t>
                            </w:r>
                          </w:p>
                          <w:p w:rsidR="00C72F10" w:rsidRPr="00B0289B" w:rsidRDefault="00C72F10" w:rsidP="001408A9">
                            <w:pPr>
                              <w:pStyle w:val="Listenabsatz"/>
                              <w:numPr>
                                <w:ilvl w:val="0"/>
                                <w:numId w:val="2"/>
                              </w:numPr>
                              <w:spacing w:after="200" w:line="276" w:lineRule="auto"/>
                              <w:ind w:left="142" w:hanging="284"/>
                              <w:rPr>
                                <w:sz w:val="22"/>
                                <w:szCs w:val="22"/>
                              </w:rPr>
                            </w:pPr>
                            <w:r w:rsidRPr="00B0289B">
                              <w:rPr>
                                <w:sz w:val="22"/>
                                <w:szCs w:val="22"/>
                              </w:rPr>
                              <w:t>Fiskalpakt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5" o:spid="_x0000_s1029" style="position:absolute;margin-left:12.65pt;margin-top:178.7pt;width:122.05pt;height:15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" fillcolor="#a7bfde [1620]" strokecolor="#4579b8 [3044]">
                <v:fill color2="#e4ecf5 [500]" rotate="t" angle="180" colors="0 #a3c4ff;22938f #bfd5ff;1 #e5eeff" focus="100%" type="gradient"/>
                <v:shadow on="t" color="black" opacity="24903f" origin=",.5" offset="0,.55556mm"/>
                <v:textbox>
                  <w:txbxContent>
                    <w:p w:rsidR="00C72F10" w:rsidRPr="00B0289B" w:rsidRDefault="00C72F10" w:rsidP="001408A9">
                      <w:pPr>
                        <w:pStyle w:val="Listenabsatz"/>
                        <w:numPr>
                          <w:ilvl w:val="0"/>
                          <w:numId w:val="2"/>
                        </w:numPr>
                        <w:spacing w:after="200" w:line="276" w:lineRule="auto"/>
                        <w:ind w:left="142" w:hanging="284"/>
                        <w:rPr>
                          <w:sz w:val="22"/>
                          <w:szCs w:val="22"/>
                        </w:rPr>
                      </w:pPr>
                      <w:r w:rsidRPr="00B0289B">
                        <w:rPr>
                          <w:sz w:val="22"/>
                          <w:szCs w:val="22"/>
                        </w:rPr>
                        <w:t>Europäisches Semester</w:t>
                      </w:r>
                    </w:p>
                    <w:p w:rsidR="00C72F10" w:rsidRPr="00B0289B" w:rsidRDefault="00C72F10" w:rsidP="001408A9">
                      <w:pPr>
                        <w:pStyle w:val="Listenabsatz"/>
                        <w:numPr>
                          <w:ilvl w:val="0"/>
                          <w:numId w:val="2"/>
                        </w:numPr>
                        <w:spacing w:after="200" w:line="276" w:lineRule="auto"/>
                        <w:ind w:left="142" w:hanging="284"/>
                        <w:rPr>
                          <w:sz w:val="22"/>
                          <w:szCs w:val="22"/>
                        </w:rPr>
                      </w:pPr>
                      <w:r w:rsidRPr="00B0289B">
                        <w:rPr>
                          <w:sz w:val="22"/>
                          <w:szCs w:val="22"/>
                        </w:rPr>
                        <w:t xml:space="preserve">Stabilitäts- und Wachstumspakt (Sixpack, </w:t>
                      </w:r>
                      <w:proofErr w:type="spellStart"/>
                      <w:r w:rsidRPr="00B0289B">
                        <w:rPr>
                          <w:sz w:val="22"/>
                          <w:szCs w:val="22"/>
                        </w:rPr>
                        <w:t>Twopack</w:t>
                      </w:r>
                      <w:proofErr w:type="spellEnd"/>
                      <w:r w:rsidRPr="00B0289B">
                        <w:rPr>
                          <w:sz w:val="22"/>
                          <w:szCs w:val="22"/>
                        </w:rPr>
                        <w:t xml:space="preserve"> ) </w:t>
                      </w:r>
                    </w:p>
                    <w:p w:rsidR="00C72F10" w:rsidRPr="00B0289B" w:rsidRDefault="00C72F10" w:rsidP="001408A9">
                      <w:pPr>
                        <w:pStyle w:val="Listenabsatz"/>
                        <w:numPr>
                          <w:ilvl w:val="0"/>
                          <w:numId w:val="2"/>
                        </w:numPr>
                        <w:spacing w:after="200" w:line="276" w:lineRule="auto"/>
                        <w:ind w:left="142" w:hanging="284"/>
                        <w:rPr>
                          <w:sz w:val="22"/>
                          <w:szCs w:val="22"/>
                        </w:rPr>
                      </w:pPr>
                      <w:r w:rsidRPr="00B0289B">
                        <w:rPr>
                          <w:sz w:val="22"/>
                          <w:szCs w:val="22"/>
                        </w:rPr>
                        <w:t>Fiskalpakt</w:t>
                      </w:r>
                    </w:p>
                  </w:txbxContent>
                </v:textbox>
              </v:roundrect>
            </w:pict>
          </mc:Fallback>
        </mc:AlternateContent>
      </w:r>
      <w:r w:rsidR="001408A9" w:rsidRPr="00993488">
        <w:rPr>
          <w:rFonts w:ascii="Arial" w:hAnsi="Arial" w:cs="Arial"/>
          <w:noProof/>
          <w:lang w:eastAsia="de-AT"/>
        </w:rPr>
        <w:drawing>
          <wp:inline distT="0" distB="0" distL="0" distR="0" wp14:anchorId="581652BD" wp14:editId="6B7102A3">
            <wp:extent cx="5852160" cy="4520794"/>
            <wp:effectExtent l="57150" t="38100" r="53340" b="70485"/>
            <wp:docPr id="12" name="Diagram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408A9" w:rsidRPr="00993488" w:rsidRDefault="00B0289B" w:rsidP="001408A9">
      <w:pPr>
        <w:rPr>
          <w:rFonts w:ascii="Arial" w:hAnsi="Arial" w:cs="Arial"/>
        </w:rPr>
      </w:pPr>
      <w:r>
        <w:rPr>
          <w:noProof/>
          <w:lang w:eastAsia="de-AT"/>
        </w:rPr>
        <mc:AlternateContent>
          <mc:Choice Requires="wps">
            <w:drawing>
              <wp:anchor distT="0" distB="0" distL="114300" distR="114300" simplePos="0" relativeHeight="251665408" behindDoc="1" locked="0" layoutInCell="1" allowOverlap="1" wp14:anchorId="79A8579F" wp14:editId="4A366CDE">
                <wp:simplePos x="0" y="0"/>
                <wp:positionH relativeFrom="column">
                  <wp:posOffset>336474</wp:posOffset>
                </wp:positionH>
                <wp:positionV relativeFrom="paragraph">
                  <wp:posOffset>31725</wp:posOffset>
                </wp:positionV>
                <wp:extent cx="5128260" cy="2582265"/>
                <wp:effectExtent l="57150" t="38100" r="53340" b="85090"/>
                <wp:wrapNone/>
                <wp:docPr id="2" name="Abgerundetes Rechteck 2"/>
                <wp:cNvGraphicFramePr/>
                <a:graphic xmlns:a="http://schemas.openxmlformats.org/drawingml/2006/main">
                  <a:graphicData uri="http://schemas.microsoft.com/office/word/2010/wordprocessingShape">
                    <wps:wsp>
                      <wps:cNvSpPr/>
                      <wps:spPr>
                        <a:xfrm>
                          <a:off x="0" y="0"/>
                          <a:ext cx="5128260" cy="2582265"/>
                        </a:xfrm>
                        <a:prstGeom prst="roundRect">
                          <a:avLst/>
                        </a:prstGeom>
                        <a:solidFill>
                          <a:schemeClr val="bg1">
                            <a:lumMod val="95000"/>
                          </a:schemeClr>
                        </a:solidFill>
                        <a:ln>
                          <a:noFill/>
                        </a:ln>
                      </wps:spPr>
                      <wps:style>
                        <a:lnRef idx="1">
                          <a:schemeClr val="accent1"/>
                        </a:lnRef>
                        <a:fillRef idx="2">
                          <a:schemeClr val="accent1"/>
                        </a:fillRef>
                        <a:effectRef idx="1">
                          <a:schemeClr val="accent1"/>
                        </a:effectRef>
                        <a:fontRef idx="minor">
                          <a:schemeClr val="dk1"/>
                        </a:fontRef>
                      </wps:style>
                      <wps:txbx>
                        <w:txbxContent>
                          <w:p w:rsidR="00C72F10" w:rsidRPr="00B37BA6" w:rsidRDefault="00C72F10" w:rsidP="001408A9">
                            <w:pPr>
                              <w:jc w:val="center"/>
                              <w:rPr>
                                <w:sz w:val="52"/>
                                <w:szCs w:val="52"/>
                              </w:rPr>
                            </w:pPr>
                            <w:r w:rsidRPr="00B37BA6">
                              <w:rPr>
                                <w:sz w:val="52"/>
                                <w:szCs w:val="52"/>
                              </w:rPr>
                              <w:t>Finanzhilfemechanismen</w:t>
                            </w:r>
                          </w:p>
                          <w:p w:rsidR="00C72F10" w:rsidRDefault="00C72F10" w:rsidP="001408A9">
                            <w:pPr>
                              <w:jc w:val="center"/>
                              <w:rPr>
                                <w:sz w:val="48"/>
                                <w:szCs w:val="48"/>
                              </w:rPr>
                            </w:pPr>
                          </w:p>
                          <w:p w:rsidR="00C72F10" w:rsidRDefault="00C72F10" w:rsidP="001408A9">
                            <w:pPr>
                              <w:jc w:val="center"/>
                              <w:rPr>
                                <w:sz w:val="48"/>
                                <w:szCs w:val="48"/>
                              </w:rPr>
                            </w:pPr>
                          </w:p>
                          <w:p w:rsidR="00C72F10" w:rsidRDefault="00C72F10" w:rsidP="001408A9">
                            <w:pPr>
                              <w:jc w:val="center"/>
                              <w:rPr>
                                <w:sz w:val="48"/>
                                <w:szCs w:val="48"/>
                              </w:rPr>
                            </w:pPr>
                          </w:p>
                          <w:p w:rsidR="00C72F10" w:rsidRPr="00BE320C" w:rsidRDefault="00C72F10" w:rsidP="001408A9">
                            <w:pPr>
                              <w:jc w:val="center"/>
                              <w:rPr>
                                <w:rFonts w:ascii="Arial" w:hAnsi="Arial" w:cs="Arial"/>
                                <w:color w:val="F2F2F2" w:themeColor="background1" w:themeShade="F2"/>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2" o:spid="_x0000_s1030" style="position:absolute;margin-left:26.5pt;margin-top:2.5pt;width:403.8pt;height:20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" fillcolor="#f2f2f2 [3052]" stroked="f">
                <v:shadow on="t" color="black" opacity="24903f" origin=",.5" offset="0,.55556mm"/>
                <v:textbox>
                  <w:txbxContent>
                    <w:p w:rsidR="00C72F10" w:rsidRPr="00B37BA6" w:rsidRDefault="00C72F10" w:rsidP="001408A9">
                      <w:pPr>
                        <w:jc w:val="center"/>
                        <w:rPr>
                          <w:sz w:val="52"/>
                          <w:szCs w:val="52"/>
                        </w:rPr>
                      </w:pPr>
                      <w:r w:rsidRPr="00B37BA6">
                        <w:rPr>
                          <w:sz w:val="52"/>
                          <w:szCs w:val="52"/>
                        </w:rPr>
                        <w:t>Finanzhilfemechanismen</w:t>
                      </w:r>
                    </w:p>
                    <w:p w:rsidR="00C72F10" w:rsidRDefault="00C72F10" w:rsidP="001408A9">
                      <w:pPr>
                        <w:jc w:val="center"/>
                        <w:rPr>
                          <w:sz w:val="48"/>
                          <w:szCs w:val="48"/>
                        </w:rPr>
                      </w:pPr>
                    </w:p>
                    <w:p w:rsidR="00C72F10" w:rsidRDefault="00C72F10" w:rsidP="001408A9">
                      <w:pPr>
                        <w:jc w:val="center"/>
                        <w:rPr>
                          <w:sz w:val="48"/>
                          <w:szCs w:val="48"/>
                        </w:rPr>
                      </w:pPr>
                    </w:p>
                    <w:p w:rsidR="00C72F10" w:rsidRDefault="00C72F10" w:rsidP="001408A9">
                      <w:pPr>
                        <w:jc w:val="center"/>
                        <w:rPr>
                          <w:sz w:val="48"/>
                          <w:szCs w:val="48"/>
                        </w:rPr>
                      </w:pPr>
                    </w:p>
                    <w:p w:rsidR="00C72F10" w:rsidRPr="00BE320C" w:rsidRDefault="00C72F10" w:rsidP="001408A9">
                      <w:pPr>
                        <w:jc w:val="center"/>
                        <w:rPr>
                          <w:rFonts w:ascii="Arial" w:hAnsi="Arial" w:cs="Arial"/>
                          <w:color w:val="F2F2F2" w:themeColor="background1" w:themeShade="F2"/>
                          <w:sz w:val="24"/>
                          <w:szCs w:val="24"/>
                        </w:rPr>
                      </w:pPr>
                    </w:p>
                  </w:txbxContent>
                </v:textbox>
              </v:roundrect>
            </w:pict>
          </mc:Fallback>
        </mc:AlternateContent>
      </w:r>
    </w:p>
    <w:p w:rsidR="001408A9" w:rsidRDefault="001408A9" w:rsidP="001408A9"/>
    <w:p w:rsidR="001408A9" w:rsidRPr="00352F75" w:rsidRDefault="001408A9" w:rsidP="001408A9">
      <w:r w:rsidRPr="00993488">
        <w:rPr>
          <w:rFonts w:ascii="Arial" w:hAnsi="Arial" w:cs="Arial"/>
          <w:noProof/>
          <w:lang w:eastAsia="de-AT"/>
        </w:rPr>
        <mc:AlternateContent>
          <mc:Choice Requires="wps">
            <w:drawing>
              <wp:anchor distT="0" distB="0" distL="114300" distR="114300" simplePos="0" relativeHeight="251663360" behindDoc="0" locked="0" layoutInCell="1" allowOverlap="1" wp14:anchorId="560D5561" wp14:editId="58914AE5">
                <wp:simplePos x="0" y="0"/>
                <wp:positionH relativeFrom="column">
                  <wp:posOffset>651027</wp:posOffset>
                </wp:positionH>
                <wp:positionV relativeFrom="paragraph">
                  <wp:posOffset>90627</wp:posOffset>
                </wp:positionV>
                <wp:extent cx="4563745" cy="436880"/>
                <wp:effectExtent l="57150" t="38100" r="84455" b="96520"/>
                <wp:wrapNone/>
                <wp:docPr id="21" name="Abgerundetes Rechteck 21"/>
                <wp:cNvGraphicFramePr/>
                <a:graphic xmlns:a="http://schemas.openxmlformats.org/drawingml/2006/main">
                  <a:graphicData uri="http://schemas.microsoft.com/office/word/2010/wordprocessingShape">
                    <wps:wsp>
                      <wps:cNvSpPr/>
                      <wps:spPr>
                        <a:xfrm>
                          <a:off x="0" y="0"/>
                          <a:ext cx="4563745" cy="436880"/>
                        </a:xfrm>
                        <a:prstGeom prst="roundRect">
                          <a:avLst/>
                        </a:prstGeom>
                        <a:gradFill flip="none" rotWithShape="1">
                          <a:gsLst>
                            <a:gs pos="0">
                              <a:srgbClr val="FFFF66">
                                <a:tint val="66000"/>
                                <a:satMod val="160000"/>
                              </a:srgbClr>
                            </a:gs>
                            <a:gs pos="50000">
                              <a:srgbClr val="FFFF66">
                                <a:tint val="44500"/>
                                <a:satMod val="160000"/>
                              </a:srgbClr>
                            </a:gs>
                            <a:gs pos="100000">
                              <a:srgbClr val="FFFF66">
                                <a:tint val="23500"/>
                                <a:satMod val="160000"/>
                              </a:srgbClr>
                            </a:gs>
                          </a:gsLst>
                          <a:lin ang="16200000" scaled="1"/>
                          <a:tileRect/>
                        </a:gradFill>
                        <a:ln w="6350">
                          <a:solidFill>
                            <a:schemeClr val="tx1"/>
                          </a:solidFill>
                        </a:ln>
                      </wps:spPr>
                      <wps:style>
                        <a:lnRef idx="1">
                          <a:schemeClr val="accent6"/>
                        </a:lnRef>
                        <a:fillRef idx="2">
                          <a:schemeClr val="accent6"/>
                        </a:fillRef>
                        <a:effectRef idx="1">
                          <a:schemeClr val="accent6"/>
                        </a:effectRef>
                        <a:fontRef idx="minor">
                          <a:schemeClr val="dk1"/>
                        </a:fontRef>
                      </wps:style>
                      <wps:txbx>
                        <w:txbxContent>
                          <w:p w:rsidR="00C72F10" w:rsidRPr="003C23F6" w:rsidRDefault="00C72F10" w:rsidP="001408A9">
                            <w:pPr>
                              <w:jc w:val="center"/>
                              <w:rPr>
                                <w:b/>
                                <w:i/>
                                <w:sz w:val="28"/>
                                <w:szCs w:val="28"/>
                              </w:rPr>
                            </w:pPr>
                            <w:r w:rsidRPr="003C23F6">
                              <w:rPr>
                                <w:b/>
                                <w:i/>
                                <w:sz w:val="28"/>
                                <w:szCs w:val="28"/>
                              </w:rPr>
                              <w:t>„</w:t>
                            </w:r>
                            <w:r>
                              <w:rPr>
                                <w:b/>
                                <w:i/>
                                <w:sz w:val="28"/>
                                <w:szCs w:val="28"/>
                              </w:rPr>
                              <w:t>Euro-</w:t>
                            </w:r>
                            <w:r w:rsidRPr="003C23F6">
                              <w:rPr>
                                <w:b/>
                                <w:i/>
                                <w:sz w:val="28"/>
                                <w:szCs w:val="28"/>
                              </w:rPr>
                              <w:t>Rettungsschirm“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21" o:spid="_x0000_s1031" style="position:absolute;margin-left:51.25pt;margin-top:7.15pt;width:359.35pt;height:3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" fillcolor="#ffff97" strokecolor="black [3213]" strokeweight=".5pt">
                <v:fill color2="#ffffdf" rotate="t" angle="180" colors="0 #ffff97;.5 #ffffbf;1 #ffffdf" focus="100%" type="gradient"/>
                <v:shadow on="t" color="black" opacity="24903f" origin=",.5" offset="0,.55556mm"/>
                <v:textbox>
                  <w:txbxContent>
                    <w:p w:rsidR="00C72F10" w:rsidRPr="003C23F6" w:rsidRDefault="00C72F10" w:rsidP="001408A9">
                      <w:pPr>
                        <w:jc w:val="center"/>
                        <w:rPr>
                          <w:b/>
                          <w:i/>
                          <w:sz w:val="28"/>
                          <w:szCs w:val="28"/>
                        </w:rPr>
                      </w:pPr>
                      <w:r w:rsidRPr="003C23F6">
                        <w:rPr>
                          <w:b/>
                          <w:i/>
                          <w:sz w:val="28"/>
                          <w:szCs w:val="28"/>
                        </w:rPr>
                        <w:t>„</w:t>
                      </w:r>
                      <w:r>
                        <w:rPr>
                          <w:b/>
                          <w:i/>
                          <w:sz w:val="28"/>
                          <w:szCs w:val="28"/>
                        </w:rPr>
                        <w:t>Euro-</w:t>
                      </w:r>
                      <w:r w:rsidRPr="003C23F6">
                        <w:rPr>
                          <w:b/>
                          <w:i/>
                          <w:sz w:val="28"/>
                          <w:szCs w:val="28"/>
                        </w:rPr>
                        <w:t>Rettungsschirm“</w:t>
                      </w:r>
                    </w:p>
                  </w:txbxContent>
                </v:textbox>
              </v:roundrect>
            </w:pict>
          </mc:Fallback>
        </mc:AlternateContent>
      </w:r>
    </w:p>
    <w:p w:rsidR="001408A9" w:rsidRPr="00E63FD6" w:rsidRDefault="00B0289B" w:rsidP="008D47F3">
      <w:pPr>
        <w:spacing w:after="120"/>
        <w:jc w:val="both"/>
        <w:rPr>
          <w:rFonts w:ascii="Arial" w:hAnsi="Arial" w:cs="Times New Roman"/>
          <w:color w:val="000000"/>
          <w:sz w:val="24"/>
          <w:szCs w:val="24"/>
        </w:rPr>
      </w:pPr>
      <w:r>
        <w:rPr>
          <w:noProof/>
          <w:lang w:eastAsia="de-AT"/>
        </w:rPr>
        <mc:AlternateContent>
          <mc:Choice Requires="wps">
            <w:drawing>
              <wp:anchor distT="0" distB="0" distL="114300" distR="114300" simplePos="0" relativeHeight="251664384" behindDoc="0" locked="0" layoutInCell="1" allowOverlap="1" wp14:anchorId="0E7107C3" wp14:editId="21437CDD">
                <wp:simplePos x="0" y="0"/>
                <wp:positionH relativeFrom="column">
                  <wp:posOffset>650875</wp:posOffset>
                </wp:positionH>
                <wp:positionV relativeFrom="paragraph">
                  <wp:posOffset>340995</wp:posOffset>
                </wp:positionV>
                <wp:extent cx="4563745" cy="1191895"/>
                <wp:effectExtent l="57150" t="38100" r="84455" b="103505"/>
                <wp:wrapNone/>
                <wp:docPr id="22" name="Abgerundetes Rechteck 22"/>
                <wp:cNvGraphicFramePr/>
                <a:graphic xmlns:a="http://schemas.openxmlformats.org/drawingml/2006/main">
                  <a:graphicData uri="http://schemas.microsoft.com/office/word/2010/wordprocessingShape">
                    <wps:wsp>
                      <wps:cNvSpPr/>
                      <wps:spPr>
                        <a:xfrm>
                          <a:off x="0" y="0"/>
                          <a:ext cx="4563745" cy="119189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C72F10" w:rsidRDefault="00C72F10" w:rsidP="001408A9">
                            <w:pPr>
                              <w:spacing w:after="0"/>
                              <w:rPr>
                                <w:sz w:val="24"/>
                                <w:szCs w:val="24"/>
                              </w:rPr>
                            </w:pPr>
                          </w:p>
                          <w:p w:rsidR="00C72F10" w:rsidRPr="00B0289B" w:rsidRDefault="00C72F10" w:rsidP="001408A9">
                            <w:pPr>
                              <w:pStyle w:val="Listenabsatz"/>
                              <w:numPr>
                                <w:ilvl w:val="0"/>
                                <w:numId w:val="5"/>
                              </w:numPr>
                              <w:spacing w:after="200" w:line="276" w:lineRule="auto"/>
                              <w:rPr>
                                <w:sz w:val="22"/>
                                <w:szCs w:val="22"/>
                              </w:rPr>
                            </w:pPr>
                            <w:r w:rsidRPr="00B0289B">
                              <w:rPr>
                                <w:sz w:val="22"/>
                                <w:szCs w:val="22"/>
                              </w:rPr>
                              <w:t>Europäische Finanzstabilisierungsfazilität (EFSF)</w:t>
                            </w:r>
                          </w:p>
                          <w:p w:rsidR="00C72F10" w:rsidRPr="00B0289B" w:rsidRDefault="00C72F10" w:rsidP="001408A9">
                            <w:pPr>
                              <w:pStyle w:val="Listenabsatz"/>
                              <w:numPr>
                                <w:ilvl w:val="0"/>
                                <w:numId w:val="5"/>
                              </w:numPr>
                              <w:spacing w:after="200" w:line="276" w:lineRule="auto"/>
                              <w:rPr>
                                <w:sz w:val="22"/>
                                <w:szCs w:val="22"/>
                              </w:rPr>
                            </w:pPr>
                            <w:r w:rsidRPr="00B0289B">
                              <w:rPr>
                                <w:sz w:val="22"/>
                                <w:szCs w:val="22"/>
                              </w:rPr>
                              <w:t>Europäischer Finanzstabilisierungsmechanismus (EFSM)</w:t>
                            </w:r>
                          </w:p>
                          <w:p w:rsidR="00C72F10" w:rsidRPr="00B0289B" w:rsidRDefault="00C72F10" w:rsidP="001408A9">
                            <w:pPr>
                              <w:pStyle w:val="Listenabsatz"/>
                              <w:numPr>
                                <w:ilvl w:val="0"/>
                                <w:numId w:val="5"/>
                              </w:numPr>
                              <w:spacing w:after="200" w:line="276" w:lineRule="auto"/>
                              <w:rPr>
                                <w:sz w:val="22"/>
                                <w:szCs w:val="22"/>
                              </w:rPr>
                            </w:pPr>
                            <w:r w:rsidRPr="00B0289B">
                              <w:rPr>
                                <w:sz w:val="22"/>
                                <w:szCs w:val="22"/>
                              </w:rPr>
                              <w:t>Europäischer Stabilitätsmechanismus (ESM)</w:t>
                            </w:r>
                          </w:p>
                          <w:p w:rsidR="00C72F10" w:rsidRDefault="00C72F10" w:rsidP="001408A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22" o:spid="_x0000_s1032" style="position:absolute;left:0;text-align:left;margin-left:51.25pt;margin-top:26.85pt;width:359.35pt;height:9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" fillcolor="#a7bfde [1620]" strokecolor="#4579b8 [3044]">
                <v:fill color2="#e4ecf5 [500]" rotate="t" angle="180" colors="0 #a3c4ff;22938f #bfd5ff;1 #e5eeff" focus="100%" type="gradient"/>
                <v:shadow on="t" color="black" opacity="24903f" origin=",.5" offset="0,.55556mm"/>
                <v:textbox>
                  <w:txbxContent>
                    <w:p w:rsidR="00C72F10" w:rsidRDefault="00C72F10" w:rsidP="001408A9">
                      <w:pPr>
                        <w:spacing w:after="0"/>
                        <w:rPr>
                          <w:sz w:val="24"/>
                          <w:szCs w:val="24"/>
                        </w:rPr>
                      </w:pPr>
                    </w:p>
                    <w:p w:rsidR="00C72F10" w:rsidRPr="00B0289B" w:rsidRDefault="00C72F10" w:rsidP="001408A9">
                      <w:pPr>
                        <w:pStyle w:val="Listenabsatz"/>
                        <w:numPr>
                          <w:ilvl w:val="0"/>
                          <w:numId w:val="5"/>
                        </w:numPr>
                        <w:spacing w:after="200" w:line="276" w:lineRule="auto"/>
                        <w:rPr>
                          <w:sz w:val="22"/>
                          <w:szCs w:val="22"/>
                        </w:rPr>
                      </w:pPr>
                      <w:r w:rsidRPr="00B0289B">
                        <w:rPr>
                          <w:sz w:val="22"/>
                          <w:szCs w:val="22"/>
                        </w:rPr>
                        <w:t>Europäische Finanzstabilisierungsfazilität (EFSF)</w:t>
                      </w:r>
                    </w:p>
                    <w:p w:rsidR="00C72F10" w:rsidRPr="00B0289B" w:rsidRDefault="00C72F10" w:rsidP="001408A9">
                      <w:pPr>
                        <w:pStyle w:val="Listenabsatz"/>
                        <w:numPr>
                          <w:ilvl w:val="0"/>
                          <w:numId w:val="5"/>
                        </w:numPr>
                        <w:spacing w:after="200" w:line="276" w:lineRule="auto"/>
                        <w:rPr>
                          <w:sz w:val="22"/>
                          <w:szCs w:val="22"/>
                        </w:rPr>
                      </w:pPr>
                      <w:r w:rsidRPr="00B0289B">
                        <w:rPr>
                          <w:sz w:val="22"/>
                          <w:szCs w:val="22"/>
                        </w:rPr>
                        <w:t>Europäischer Finanzstabilisierungsmechanismus (EFSM)</w:t>
                      </w:r>
                    </w:p>
                    <w:p w:rsidR="00C72F10" w:rsidRPr="00B0289B" w:rsidRDefault="00C72F10" w:rsidP="001408A9">
                      <w:pPr>
                        <w:pStyle w:val="Listenabsatz"/>
                        <w:numPr>
                          <w:ilvl w:val="0"/>
                          <w:numId w:val="5"/>
                        </w:numPr>
                        <w:spacing w:after="200" w:line="276" w:lineRule="auto"/>
                        <w:rPr>
                          <w:sz w:val="22"/>
                          <w:szCs w:val="22"/>
                        </w:rPr>
                      </w:pPr>
                      <w:r w:rsidRPr="00B0289B">
                        <w:rPr>
                          <w:sz w:val="22"/>
                          <w:szCs w:val="22"/>
                        </w:rPr>
                        <w:t>Europäischer Stabilitätsmechanismus (ESM)</w:t>
                      </w:r>
                    </w:p>
                    <w:p w:rsidR="00C72F10" w:rsidRDefault="00C72F10" w:rsidP="001408A9"/>
                  </w:txbxContent>
                </v:textbox>
              </v:roundrect>
            </w:pict>
          </mc:Fallback>
        </mc:AlternateContent>
      </w:r>
    </w:p>
    <w:sectPr w:rsidR="001408A9" w:rsidRPr="00E63FD6" w:rsidSect="008D47F3">
      <w:headerReference w:type="even" r:id="rId15"/>
      <w:headerReference w:type="default" r:id="rId16"/>
      <w:footerReference w:type="even" r:id="rId17"/>
      <w:footerReference w:type="default" r:id="rId18"/>
      <w:headerReference w:type="first" r:id="rId19"/>
      <w:footerReference w:type="first" r:id="rId20"/>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BB" w:rsidRDefault="00CB70BB" w:rsidP="00225A23">
      <w:pPr>
        <w:spacing w:after="0"/>
      </w:pPr>
      <w:r>
        <w:separator/>
      </w:r>
    </w:p>
  </w:endnote>
  <w:endnote w:type="continuationSeparator" w:id="0">
    <w:p w:rsidR="00CB70BB" w:rsidRDefault="00CB70BB" w:rsidP="00225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9" w:rsidRDefault="002624F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9" w:rsidRDefault="002624F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9" w:rsidRDefault="002624F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BB" w:rsidRDefault="00CB70BB" w:rsidP="00225A23">
      <w:pPr>
        <w:spacing w:after="0"/>
      </w:pPr>
      <w:r>
        <w:separator/>
      </w:r>
    </w:p>
  </w:footnote>
  <w:footnote w:type="continuationSeparator" w:id="0">
    <w:p w:rsidR="00CB70BB" w:rsidRDefault="00CB70BB" w:rsidP="00225A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9" w:rsidRDefault="002624F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F10" w:rsidRPr="00E60B97" w:rsidRDefault="00C72F10" w:rsidP="000452E3">
    <w:pPr>
      <w:tabs>
        <w:tab w:val="left" w:pos="8070"/>
      </w:tabs>
      <w:autoSpaceDE w:val="0"/>
      <w:autoSpaceDN w:val="0"/>
      <w:adjustRightInd w:val="0"/>
      <w:spacing w:after="120"/>
      <w:rPr>
        <w:rFonts w:ascii="Arial" w:hAnsi="Arial" w:cs="Arial"/>
        <w:b/>
        <w:bCs/>
        <w:i/>
        <w:iCs/>
        <w:color w:val="17365D" w:themeColor="text2" w:themeShade="BF"/>
        <w:sz w:val="20"/>
        <w:szCs w:val="24"/>
        <w:lang w:eastAsia="zh-TW"/>
      </w:rPr>
    </w:pPr>
    <w:r w:rsidRPr="00E60B97">
      <w:rPr>
        <w:rFonts w:ascii="Arial" w:hAnsi="Arial" w:cs="Arial"/>
        <w:b/>
        <w:bCs/>
        <w:i/>
        <w:iCs/>
        <w:color w:val="17365D" w:themeColor="text2" w:themeShade="BF"/>
        <w:sz w:val="20"/>
        <w:szCs w:val="24"/>
        <w:lang w:eastAsia="zh-TW"/>
      </w:rPr>
      <w:t xml:space="preserve">Ein Service des </w:t>
    </w:r>
    <w:r w:rsidRPr="00E60B97">
      <w:rPr>
        <w:rFonts w:ascii="Arial" w:hAnsi="Arial" w:cs="Arial"/>
        <w:b/>
        <w:bCs/>
        <w:i/>
        <w:iCs/>
        <w:color w:val="17365D" w:themeColor="text2" w:themeShade="BF"/>
        <w:sz w:val="20"/>
        <w:szCs w:val="24"/>
        <w:lang w:eastAsia="zh-TW"/>
      </w:rPr>
      <w:t>BM</w:t>
    </w:r>
    <w:r w:rsidR="002624F9">
      <w:rPr>
        <w:rFonts w:ascii="Arial" w:hAnsi="Arial" w:cs="Arial"/>
        <w:b/>
        <w:bCs/>
        <w:i/>
        <w:iCs/>
        <w:color w:val="17365D" w:themeColor="text2" w:themeShade="BF"/>
        <w:sz w:val="20"/>
        <w:szCs w:val="24"/>
        <w:lang w:eastAsia="zh-TW"/>
      </w:rPr>
      <w:t>EI</w:t>
    </w:r>
    <w:bookmarkStart w:id="0" w:name="_GoBack"/>
    <w:bookmarkEnd w:id="0"/>
    <w:r w:rsidRPr="00E60B97">
      <w:rPr>
        <w:rFonts w:ascii="Arial" w:hAnsi="Arial" w:cs="Arial"/>
        <w:b/>
        <w:bCs/>
        <w:i/>
        <w:iCs/>
        <w:color w:val="17365D" w:themeColor="text2" w:themeShade="BF"/>
        <w:sz w:val="20"/>
        <w:szCs w:val="24"/>
        <w:lang w:eastAsia="zh-TW"/>
      </w:rPr>
      <w:t>A für EU-</w:t>
    </w:r>
    <w:proofErr w:type="spellStart"/>
    <w:r w:rsidRPr="00E60B97">
      <w:rPr>
        <w:rFonts w:ascii="Arial" w:hAnsi="Arial" w:cs="Arial"/>
        <w:b/>
        <w:bCs/>
        <w:i/>
        <w:iCs/>
        <w:color w:val="17365D" w:themeColor="text2" w:themeShade="BF"/>
        <w:sz w:val="20"/>
        <w:szCs w:val="24"/>
        <w:lang w:eastAsia="zh-TW"/>
      </w:rPr>
      <w:t>GemeinderätInnen</w:t>
    </w:r>
    <w:proofErr w:type="spellEnd"/>
    <w:r w:rsidRPr="00E60B97">
      <w:rPr>
        <w:rFonts w:ascii="Arial" w:hAnsi="Arial" w:cs="Arial"/>
        <w:b/>
        <w:bCs/>
        <w:i/>
        <w:iCs/>
        <w:color w:val="17365D" w:themeColor="text2" w:themeShade="BF"/>
        <w:sz w:val="20"/>
        <w:szCs w:val="24"/>
        <w:lang w:eastAsia="zh-TW"/>
      </w:rPr>
      <w:tab/>
    </w:r>
  </w:p>
  <w:p w:rsidR="00C72F10" w:rsidRDefault="00C72F10" w:rsidP="000452E3">
    <w:pPr>
      <w:pStyle w:val="Kopfzeile"/>
    </w:pPr>
    <w:r>
      <w:rPr>
        <w:rFonts w:ascii="Arial" w:hAnsi="Arial" w:cs="Arial"/>
        <w:b/>
        <w:bCs/>
        <w:i/>
        <w:iCs/>
        <w:color w:val="17365D" w:themeColor="text2" w:themeShade="BF"/>
        <w:sz w:val="20"/>
        <w:szCs w:val="24"/>
        <w:lang w:eastAsia="zh-TW"/>
      </w:rPr>
      <w:t>März 2014</w:t>
    </w:r>
    <w:r w:rsidRPr="00E60B97">
      <w:rPr>
        <w:noProof/>
        <w:color w:val="000000"/>
        <w:sz w:val="16"/>
        <w:szCs w:val="20"/>
        <w:lang w:eastAsia="de-AT"/>
      </w:rPr>
      <w:t xml:space="preserve"> </w:t>
    </w:r>
    <w:r w:rsidRPr="00E60B97">
      <w:rPr>
        <w:noProof/>
        <w:color w:val="000000"/>
        <w:sz w:val="16"/>
        <w:szCs w:val="20"/>
        <w:lang w:eastAsia="de-AT"/>
      </w:rPr>
      <w:drawing>
        <wp:anchor distT="0" distB="0" distL="114300" distR="114300" simplePos="0" relativeHeight="251659264" behindDoc="0" locked="0" layoutInCell="1" allowOverlap="1" wp14:anchorId="028697FF" wp14:editId="0081C99D">
          <wp:simplePos x="0" y="0"/>
          <wp:positionH relativeFrom="column">
            <wp:posOffset>4459605</wp:posOffset>
          </wp:positionH>
          <wp:positionV relativeFrom="paragraph">
            <wp:posOffset>-380365</wp:posOffset>
          </wp:positionV>
          <wp:extent cx="2019600" cy="648000"/>
          <wp:effectExtent l="0" t="0" r="0" b="0"/>
          <wp:wrapNone/>
          <wp:docPr id="3" name="Grafik 3" descr="Beschreibung: Beschreibung: Beschreibung: Beschreibung: Beschreibung: Beschreibung: cid:image001.jpg@01CCF872.BB9D9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Beschreibung: Beschreibung: Beschreibung: Beschreibung: cid:image001.jpg@01CCF872.BB9D9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6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F9" w:rsidRDefault="002624F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1E3"/>
    <w:multiLevelType w:val="hybridMultilevel"/>
    <w:tmpl w:val="06D0A8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BB763A9"/>
    <w:multiLevelType w:val="hybridMultilevel"/>
    <w:tmpl w:val="082CC2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3F951D5"/>
    <w:multiLevelType w:val="hybridMultilevel"/>
    <w:tmpl w:val="22F690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48D4E1E"/>
    <w:multiLevelType w:val="hybridMultilevel"/>
    <w:tmpl w:val="1318F3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43E45519"/>
    <w:multiLevelType w:val="hybridMultilevel"/>
    <w:tmpl w:val="BB925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23"/>
    <w:rsid w:val="000234CC"/>
    <w:rsid w:val="00034CAB"/>
    <w:rsid w:val="000452E3"/>
    <w:rsid w:val="0006651D"/>
    <w:rsid w:val="000A4A54"/>
    <w:rsid w:val="000C380B"/>
    <w:rsid w:val="001029C1"/>
    <w:rsid w:val="00104596"/>
    <w:rsid w:val="001408A9"/>
    <w:rsid w:val="00162D6F"/>
    <w:rsid w:val="0017656F"/>
    <w:rsid w:val="001C02C0"/>
    <w:rsid w:val="001C5D2A"/>
    <w:rsid w:val="001D0B41"/>
    <w:rsid w:val="001E5363"/>
    <w:rsid w:val="001F09E1"/>
    <w:rsid w:val="00225A23"/>
    <w:rsid w:val="002624F9"/>
    <w:rsid w:val="002C0D4B"/>
    <w:rsid w:val="00316040"/>
    <w:rsid w:val="0035045D"/>
    <w:rsid w:val="00381065"/>
    <w:rsid w:val="003A1D6E"/>
    <w:rsid w:val="003B076F"/>
    <w:rsid w:val="003B14E3"/>
    <w:rsid w:val="00411240"/>
    <w:rsid w:val="0042198E"/>
    <w:rsid w:val="004C1A16"/>
    <w:rsid w:val="004E3FF2"/>
    <w:rsid w:val="005432F9"/>
    <w:rsid w:val="005A1F9A"/>
    <w:rsid w:val="005B0D90"/>
    <w:rsid w:val="005F30C4"/>
    <w:rsid w:val="006A4D0F"/>
    <w:rsid w:val="006C1B36"/>
    <w:rsid w:val="006F3A52"/>
    <w:rsid w:val="00714535"/>
    <w:rsid w:val="0077477E"/>
    <w:rsid w:val="007F30E6"/>
    <w:rsid w:val="008854C6"/>
    <w:rsid w:val="008D47F3"/>
    <w:rsid w:val="008D5EBA"/>
    <w:rsid w:val="008F6B93"/>
    <w:rsid w:val="00921F17"/>
    <w:rsid w:val="00935BFA"/>
    <w:rsid w:val="009367C9"/>
    <w:rsid w:val="00944DAF"/>
    <w:rsid w:val="00951E5E"/>
    <w:rsid w:val="0098488A"/>
    <w:rsid w:val="009C1618"/>
    <w:rsid w:val="009C626C"/>
    <w:rsid w:val="00A422CC"/>
    <w:rsid w:val="00A84784"/>
    <w:rsid w:val="00A929DF"/>
    <w:rsid w:val="00AD6E66"/>
    <w:rsid w:val="00B0289B"/>
    <w:rsid w:val="00BB1273"/>
    <w:rsid w:val="00BB2E2D"/>
    <w:rsid w:val="00BC3468"/>
    <w:rsid w:val="00C04E5D"/>
    <w:rsid w:val="00C17BD3"/>
    <w:rsid w:val="00C50361"/>
    <w:rsid w:val="00C72F10"/>
    <w:rsid w:val="00C83C98"/>
    <w:rsid w:val="00C84B22"/>
    <w:rsid w:val="00C86794"/>
    <w:rsid w:val="00CB70BB"/>
    <w:rsid w:val="00CD5DA9"/>
    <w:rsid w:val="00D23807"/>
    <w:rsid w:val="00D47F84"/>
    <w:rsid w:val="00D921E7"/>
    <w:rsid w:val="00D92430"/>
    <w:rsid w:val="00DF5BF9"/>
    <w:rsid w:val="00E25D31"/>
    <w:rsid w:val="00E2621E"/>
    <w:rsid w:val="00E60FA3"/>
    <w:rsid w:val="00E63FD6"/>
    <w:rsid w:val="00ED6322"/>
    <w:rsid w:val="00F20971"/>
    <w:rsid w:val="00F25F49"/>
    <w:rsid w:val="00F52096"/>
    <w:rsid w:val="00F960AE"/>
    <w:rsid w:val="00FB352B"/>
    <w:rsid w:val="00FC5ADA"/>
    <w:rsid w:val="00FF12A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5A23"/>
  </w:style>
  <w:style w:type="paragraph" w:styleId="berschrift1">
    <w:name w:val="heading 1"/>
    <w:basedOn w:val="Standard"/>
    <w:next w:val="Standard"/>
    <w:link w:val="berschrift1Zchn"/>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1240"/>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225A23"/>
    <w:pPr>
      <w:tabs>
        <w:tab w:val="center" w:pos="4536"/>
        <w:tab w:val="right" w:pos="9072"/>
      </w:tabs>
      <w:spacing w:after="0"/>
    </w:pPr>
  </w:style>
  <w:style w:type="character" w:customStyle="1" w:styleId="KopfzeileZchn">
    <w:name w:val="Kopfzeile Zchn"/>
    <w:basedOn w:val="Absatz-Standardschriftart"/>
    <w:link w:val="Kopfzeile"/>
    <w:uiPriority w:val="99"/>
    <w:rsid w:val="00225A23"/>
  </w:style>
  <w:style w:type="paragraph" w:styleId="StandardWeb">
    <w:name w:val="Normal (Web)"/>
    <w:basedOn w:val="Standard"/>
    <w:uiPriority w:val="99"/>
    <w:semiHidden/>
    <w:unhideWhenUsed/>
    <w:rsid w:val="00225A23"/>
    <w:pPr>
      <w:spacing w:after="0"/>
    </w:pPr>
    <w:rPr>
      <w:rFonts w:ascii="Times" w:hAnsi="Times" w:cs="Times New Roman"/>
      <w:sz w:val="20"/>
      <w:szCs w:val="20"/>
      <w:lang w:eastAsia="de-AT"/>
    </w:rPr>
  </w:style>
  <w:style w:type="paragraph" w:styleId="Listenabsatz">
    <w:name w:val="List Paragraph"/>
    <w:basedOn w:val="Standard"/>
    <w:uiPriority w:val="34"/>
    <w:qFormat/>
    <w:rsid w:val="00225A23"/>
    <w:pPr>
      <w:spacing w:after="0"/>
      <w:ind w:left="720"/>
      <w:contextualSpacing/>
    </w:pPr>
    <w:rPr>
      <w:sz w:val="24"/>
      <w:szCs w:val="24"/>
      <w:lang w:eastAsia="de-AT"/>
    </w:rPr>
  </w:style>
  <w:style w:type="paragraph" w:styleId="Fuzeile">
    <w:name w:val="footer"/>
    <w:basedOn w:val="Standard"/>
    <w:link w:val="FuzeileZchn"/>
    <w:uiPriority w:val="99"/>
    <w:unhideWhenUsed/>
    <w:rsid w:val="00225A23"/>
    <w:pPr>
      <w:tabs>
        <w:tab w:val="center" w:pos="4536"/>
        <w:tab w:val="right" w:pos="9072"/>
      </w:tabs>
      <w:spacing w:after="0"/>
    </w:pPr>
  </w:style>
  <w:style w:type="character" w:customStyle="1" w:styleId="FuzeileZchn">
    <w:name w:val="Fußzeile Zchn"/>
    <w:basedOn w:val="Absatz-Standardschriftart"/>
    <w:link w:val="Fuzeile"/>
    <w:uiPriority w:val="99"/>
    <w:rsid w:val="00225A23"/>
  </w:style>
  <w:style w:type="paragraph" w:styleId="Sprechblasentext">
    <w:name w:val="Balloon Text"/>
    <w:basedOn w:val="Standard"/>
    <w:link w:val="SprechblasentextZchn"/>
    <w:uiPriority w:val="99"/>
    <w:semiHidden/>
    <w:unhideWhenUsed/>
    <w:rsid w:val="005F30C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0C4"/>
    <w:rPr>
      <w:rFonts w:ascii="Tahoma" w:hAnsi="Tahoma" w:cs="Tahoma"/>
      <w:sz w:val="16"/>
      <w:szCs w:val="16"/>
    </w:rPr>
  </w:style>
  <w:style w:type="character" w:styleId="Kommentarzeichen">
    <w:name w:val="annotation reference"/>
    <w:basedOn w:val="Absatz-Standardschriftart"/>
    <w:uiPriority w:val="99"/>
    <w:semiHidden/>
    <w:unhideWhenUsed/>
    <w:rsid w:val="00C86794"/>
    <w:rPr>
      <w:sz w:val="16"/>
      <w:szCs w:val="16"/>
    </w:rPr>
  </w:style>
  <w:style w:type="paragraph" w:styleId="Kommentartext">
    <w:name w:val="annotation text"/>
    <w:basedOn w:val="Standard"/>
    <w:link w:val="KommentartextZchn"/>
    <w:uiPriority w:val="99"/>
    <w:semiHidden/>
    <w:unhideWhenUsed/>
    <w:rsid w:val="00C86794"/>
    <w:rPr>
      <w:sz w:val="20"/>
      <w:szCs w:val="20"/>
    </w:rPr>
  </w:style>
  <w:style w:type="character" w:customStyle="1" w:styleId="KommentartextZchn">
    <w:name w:val="Kommentartext Zchn"/>
    <w:basedOn w:val="Absatz-Standardschriftart"/>
    <w:link w:val="Kommentartext"/>
    <w:uiPriority w:val="99"/>
    <w:semiHidden/>
    <w:rsid w:val="00C86794"/>
    <w:rPr>
      <w:sz w:val="20"/>
      <w:szCs w:val="20"/>
    </w:rPr>
  </w:style>
  <w:style w:type="paragraph" w:styleId="Kommentarthema">
    <w:name w:val="annotation subject"/>
    <w:basedOn w:val="Kommentartext"/>
    <w:next w:val="Kommentartext"/>
    <w:link w:val="KommentarthemaZchn"/>
    <w:uiPriority w:val="99"/>
    <w:semiHidden/>
    <w:unhideWhenUsed/>
    <w:rsid w:val="00C86794"/>
    <w:rPr>
      <w:b/>
      <w:bCs/>
    </w:rPr>
  </w:style>
  <w:style w:type="character" w:customStyle="1" w:styleId="KommentarthemaZchn">
    <w:name w:val="Kommentarthema Zchn"/>
    <w:basedOn w:val="KommentartextZchn"/>
    <w:link w:val="Kommentarthema"/>
    <w:uiPriority w:val="99"/>
    <w:semiHidden/>
    <w:rsid w:val="00C8679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5A23"/>
  </w:style>
  <w:style w:type="paragraph" w:styleId="berschrift1">
    <w:name w:val="heading 1"/>
    <w:basedOn w:val="Standard"/>
    <w:next w:val="Standard"/>
    <w:link w:val="berschrift1Zchn"/>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1240"/>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225A23"/>
    <w:pPr>
      <w:tabs>
        <w:tab w:val="center" w:pos="4536"/>
        <w:tab w:val="right" w:pos="9072"/>
      </w:tabs>
      <w:spacing w:after="0"/>
    </w:pPr>
  </w:style>
  <w:style w:type="character" w:customStyle="1" w:styleId="KopfzeileZchn">
    <w:name w:val="Kopfzeile Zchn"/>
    <w:basedOn w:val="Absatz-Standardschriftart"/>
    <w:link w:val="Kopfzeile"/>
    <w:uiPriority w:val="99"/>
    <w:rsid w:val="00225A23"/>
  </w:style>
  <w:style w:type="paragraph" w:styleId="StandardWeb">
    <w:name w:val="Normal (Web)"/>
    <w:basedOn w:val="Standard"/>
    <w:uiPriority w:val="99"/>
    <w:semiHidden/>
    <w:unhideWhenUsed/>
    <w:rsid w:val="00225A23"/>
    <w:pPr>
      <w:spacing w:after="0"/>
    </w:pPr>
    <w:rPr>
      <w:rFonts w:ascii="Times" w:hAnsi="Times" w:cs="Times New Roman"/>
      <w:sz w:val="20"/>
      <w:szCs w:val="20"/>
      <w:lang w:eastAsia="de-AT"/>
    </w:rPr>
  </w:style>
  <w:style w:type="paragraph" w:styleId="Listenabsatz">
    <w:name w:val="List Paragraph"/>
    <w:basedOn w:val="Standard"/>
    <w:uiPriority w:val="34"/>
    <w:qFormat/>
    <w:rsid w:val="00225A23"/>
    <w:pPr>
      <w:spacing w:after="0"/>
      <w:ind w:left="720"/>
      <w:contextualSpacing/>
    </w:pPr>
    <w:rPr>
      <w:sz w:val="24"/>
      <w:szCs w:val="24"/>
      <w:lang w:eastAsia="de-AT"/>
    </w:rPr>
  </w:style>
  <w:style w:type="paragraph" w:styleId="Fuzeile">
    <w:name w:val="footer"/>
    <w:basedOn w:val="Standard"/>
    <w:link w:val="FuzeileZchn"/>
    <w:uiPriority w:val="99"/>
    <w:unhideWhenUsed/>
    <w:rsid w:val="00225A23"/>
    <w:pPr>
      <w:tabs>
        <w:tab w:val="center" w:pos="4536"/>
        <w:tab w:val="right" w:pos="9072"/>
      </w:tabs>
      <w:spacing w:after="0"/>
    </w:pPr>
  </w:style>
  <w:style w:type="character" w:customStyle="1" w:styleId="FuzeileZchn">
    <w:name w:val="Fußzeile Zchn"/>
    <w:basedOn w:val="Absatz-Standardschriftart"/>
    <w:link w:val="Fuzeile"/>
    <w:uiPriority w:val="99"/>
    <w:rsid w:val="00225A23"/>
  </w:style>
  <w:style w:type="paragraph" w:styleId="Sprechblasentext">
    <w:name w:val="Balloon Text"/>
    <w:basedOn w:val="Standard"/>
    <w:link w:val="SprechblasentextZchn"/>
    <w:uiPriority w:val="99"/>
    <w:semiHidden/>
    <w:unhideWhenUsed/>
    <w:rsid w:val="005F30C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0C4"/>
    <w:rPr>
      <w:rFonts w:ascii="Tahoma" w:hAnsi="Tahoma" w:cs="Tahoma"/>
      <w:sz w:val="16"/>
      <w:szCs w:val="16"/>
    </w:rPr>
  </w:style>
  <w:style w:type="character" w:styleId="Kommentarzeichen">
    <w:name w:val="annotation reference"/>
    <w:basedOn w:val="Absatz-Standardschriftart"/>
    <w:uiPriority w:val="99"/>
    <w:semiHidden/>
    <w:unhideWhenUsed/>
    <w:rsid w:val="00C86794"/>
    <w:rPr>
      <w:sz w:val="16"/>
      <w:szCs w:val="16"/>
    </w:rPr>
  </w:style>
  <w:style w:type="paragraph" w:styleId="Kommentartext">
    <w:name w:val="annotation text"/>
    <w:basedOn w:val="Standard"/>
    <w:link w:val="KommentartextZchn"/>
    <w:uiPriority w:val="99"/>
    <w:semiHidden/>
    <w:unhideWhenUsed/>
    <w:rsid w:val="00C86794"/>
    <w:rPr>
      <w:sz w:val="20"/>
      <w:szCs w:val="20"/>
    </w:rPr>
  </w:style>
  <w:style w:type="character" w:customStyle="1" w:styleId="KommentartextZchn">
    <w:name w:val="Kommentartext Zchn"/>
    <w:basedOn w:val="Absatz-Standardschriftart"/>
    <w:link w:val="Kommentartext"/>
    <w:uiPriority w:val="99"/>
    <w:semiHidden/>
    <w:rsid w:val="00C86794"/>
    <w:rPr>
      <w:sz w:val="20"/>
      <w:szCs w:val="20"/>
    </w:rPr>
  </w:style>
  <w:style w:type="paragraph" w:styleId="Kommentarthema">
    <w:name w:val="annotation subject"/>
    <w:basedOn w:val="Kommentartext"/>
    <w:next w:val="Kommentartext"/>
    <w:link w:val="KommentarthemaZchn"/>
    <w:uiPriority w:val="99"/>
    <w:semiHidden/>
    <w:unhideWhenUsed/>
    <w:rsid w:val="00C86794"/>
    <w:rPr>
      <w:b/>
      <w:bCs/>
    </w:rPr>
  </w:style>
  <w:style w:type="character" w:customStyle="1" w:styleId="KommentarthemaZchn">
    <w:name w:val="Kommentarthema Zchn"/>
    <w:basedOn w:val="KommentartextZchn"/>
    <w:link w:val="Kommentarthema"/>
    <w:uiPriority w:val="99"/>
    <w:semiHidden/>
    <w:rsid w:val="00C86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DF23C.B1D02460"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AD5ED1-ADBA-40F9-9CF3-4AFB50D63F1A}" type="doc">
      <dgm:prSet loTypeId="urn:microsoft.com/office/officeart/2005/8/layout/lProcess2" loCatId="list" qsTypeId="urn:microsoft.com/office/officeart/2005/8/quickstyle/simple3" qsCatId="simple" csTypeId="urn:microsoft.com/office/officeart/2005/8/colors/accent6_2" csCatId="accent6" phldr="1"/>
      <dgm:spPr/>
      <dgm:t>
        <a:bodyPr/>
        <a:lstStyle/>
        <a:p>
          <a:endParaRPr lang="de-AT"/>
        </a:p>
      </dgm:t>
    </dgm:pt>
    <dgm:pt modelId="{658FE3B6-090C-4955-8B0A-BF8374F3BFDA}">
      <dgm:prSet phldrT="[Text]" custT="1"/>
      <dgm:spPr>
        <a:solidFill>
          <a:schemeClr val="bg1">
            <a:lumMod val="95000"/>
          </a:schemeClr>
        </a:solidFill>
      </dgm:spPr>
      <dgm:t>
        <a:bodyPr/>
        <a:lstStyle/>
        <a:p>
          <a:r>
            <a:rPr lang="de-AT" sz="2600"/>
            <a:t>Stabile Haushalte </a:t>
          </a:r>
        </a:p>
      </dgm:t>
    </dgm:pt>
    <dgm:pt modelId="{DB7C82E4-ADCF-4665-8AB1-5DF5B36B9D8C}" type="parTrans" cxnId="{5B04B1B6-94E7-45B9-BD1E-87AC11F877FB}">
      <dgm:prSet/>
      <dgm:spPr/>
      <dgm:t>
        <a:bodyPr/>
        <a:lstStyle/>
        <a:p>
          <a:endParaRPr lang="de-AT"/>
        </a:p>
      </dgm:t>
    </dgm:pt>
    <dgm:pt modelId="{18302830-CF7E-498D-AB83-E0187DD8DF7B}" type="sibTrans" cxnId="{5B04B1B6-94E7-45B9-BD1E-87AC11F877FB}">
      <dgm:prSet/>
      <dgm:spPr/>
      <dgm:t>
        <a:bodyPr/>
        <a:lstStyle/>
        <a:p>
          <a:endParaRPr lang="de-AT"/>
        </a:p>
      </dgm:t>
    </dgm:pt>
    <dgm:pt modelId="{E4016F7C-5BA8-4352-B8EE-5AB88253526D}">
      <dgm:prSet phldrT="[Text]" custT="1"/>
      <dgm:spPr>
        <a:solidFill>
          <a:schemeClr val="bg1">
            <a:lumMod val="95000"/>
          </a:schemeClr>
        </a:solidFill>
      </dgm:spPr>
      <dgm:t>
        <a:bodyPr/>
        <a:lstStyle/>
        <a:p>
          <a:r>
            <a:rPr lang="de-AT" sz="2600"/>
            <a:t>Stabile Wirtschaft</a:t>
          </a:r>
        </a:p>
      </dgm:t>
    </dgm:pt>
    <dgm:pt modelId="{F3551D72-2A5B-4721-B19E-05B7865124AD}" type="parTrans" cxnId="{BBC368EF-CA26-4138-AF25-D44D0A9DE3BD}">
      <dgm:prSet/>
      <dgm:spPr/>
      <dgm:t>
        <a:bodyPr/>
        <a:lstStyle/>
        <a:p>
          <a:endParaRPr lang="de-AT"/>
        </a:p>
      </dgm:t>
    </dgm:pt>
    <dgm:pt modelId="{3B5FB531-F808-493A-A9FD-B6FEEBD05F3E}" type="sibTrans" cxnId="{BBC368EF-CA26-4138-AF25-D44D0A9DE3BD}">
      <dgm:prSet/>
      <dgm:spPr/>
      <dgm:t>
        <a:bodyPr/>
        <a:lstStyle/>
        <a:p>
          <a:endParaRPr lang="de-AT"/>
        </a:p>
      </dgm:t>
    </dgm:pt>
    <dgm:pt modelId="{935D8FD2-B786-458D-8EDC-B61B97A3D521}">
      <dgm:prSet phldrT="[Text]"/>
      <dgm:spPr>
        <a:solidFill>
          <a:schemeClr val="bg1">
            <a:lumMod val="95000"/>
          </a:schemeClr>
        </a:solidFill>
      </dgm:spPr>
      <dgm:t>
        <a:bodyPr/>
        <a:lstStyle/>
        <a:p>
          <a:r>
            <a:rPr lang="de-AT"/>
            <a:t>Stabiler Finanzmarkt</a:t>
          </a:r>
        </a:p>
      </dgm:t>
    </dgm:pt>
    <dgm:pt modelId="{F292FC58-969C-475F-B5C4-2F4C40B23443}" type="parTrans" cxnId="{7A897B21-8A0F-4ECD-913A-EBACFF216C69}">
      <dgm:prSet/>
      <dgm:spPr/>
      <dgm:t>
        <a:bodyPr/>
        <a:lstStyle/>
        <a:p>
          <a:endParaRPr lang="de-AT"/>
        </a:p>
      </dgm:t>
    </dgm:pt>
    <dgm:pt modelId="{FCD8F049-2DFC-4621-87D6-37FDCE53EB01}" type="sibTrans" cxnId="{7A897B21-8A0F-4ECD-913A-EBACFF216C69}">
      <dgm:prSet/>
      <dgm:spPr/>
      <dgm:t>
        <a:bodyPr/>
        <a:lstStyle/>
        <a:p>
          <a:endParaRPr lang="de-AT"/>
        </a:p>
      </dgm:t>
    </dgm:pt>
    <dgm:pt modelId="{AFCED996-C48F-4958-9B23-697C7F96EB3C}">
      <dgm:prSet custT="1"/>
      <dgm:spPr>
        <a:gradFill flip="none" rotWithShape="1">
          <a:gsLst>
            <a:gs pos="0">
              <a:srgbClr val="FFFF66">
                <a:tint val="66000"/>
                <a:satMod val="160000"/>
              </a:srgbClr>
            </a:gs>
            <a:gs pos="50000">
              <a:srgbClr val="FFFF66">
                <a:tint val="44500"/>
                <a:satMod val="160000"/>
              </a:srgbClr>
            </a:gs>
            <a:gs pos="100000">
              <a:srgbClr val="FFFF66">
                <a:tint val="23500"/>
                <a:satMod val="160000"/>
              </a:srgbClr>
            </a:gs>
          </a:gsLst>
          <a:lin ang="16200000" scaled="1"/>
          <a:tileRect/>
        </a:gradFill>
      </dgm:spPr>
      <dgm:t>
        <a:bodyPr/>
        <a:lstStyle/>
        <a:p>
          <a:pPr algn="ctr"/>
          <a:r>
            <a:rPr lang="de-AT" sz="1050" i="1"/>
            <a:t>bessere</a:t>
          </a:r>
        </a:p>
        <a:p>
          <a:pPr algn="ctr"/>
          <a:r>
            <a:rPr lang="de-AT" sz="1300" b="1" i="1"/>
            <a:t>haushaltspolitische Überwachung</a:t>
          </a:r>
        </a:p>
      </dgm:t>
    </dgm:pt>
    <dgm:pt modelId="{F8DC3827-F7A5-497D-992E-E24DFD1DAB98}" type="parTrans" cxnId="{DBA820F2-6332-4842-8854-3353C152F57F}">
      <dgm:prSet/>
      <dgm:spPr/>
      <dgm:t>
        <a:bodyPr/>
        <a:lstStyle/>
        <a:p>
          <a:endParaRPr lang="de-AT"/>
        </a:p>
      </dgm:t>
    </dgm:pt>
    <dgm:pt modelId="{D04B4992-12D3-412F-937A-6F9F7513BEE5}" type="sibTrans" cxnId="{DBA820F2-6332-4842-8854-3353C152F57F}">
      <dgm:prSet/>
      <dgm:spPr/>
      <dgm:t>
        <a:bodyPr/>
        <a:lstStyle/>
        <a:p>
          <a:endParaRPr lang="de-AT"/>
        </a:p>
      </dgm:t>
    </dgm:pt>
    <dgm:pt modelId="{12DFEBCC-1872-491F-AF6E-FB8F58D88FB7}">
      <dgm:prSet custT="1"/>
      <dgm:spPr>
        <a:gradFill flip="none" rotWithShape="0">
          <a:gsLst>
            <a:gs pos="0">
              <a:srgbClr val="FFFF66">
                <a:tint val="66000"/>
                <a:satMod val="160000"/>
              </a:srgbClr>
            </a:gs>
            <a:gs pos="50000">
              <a:srgbClr val="FFFF66">
                <a:tint val="44500"/>
                <a:satMod val="160000"/>
              </a:srgbClr>
            </a:gs>
            <a:gs pos="100000">
              <a:srgbClr val="FFFF66">
                <a:tint val="23500"/>
                <a:satMod val="160000"/>
              </a:srgbClr>
            </a:gs>
          </a:gsLst>
          <a:lin ang="16200000" scaled="1"/>
          <a:tileRect/>
        </a:gradFill>
      </dgm:spPr>
      <dgm:t>
        <a:bodyPr/>
        <a:lstStyle/>
        <a:p>
          <a:pPr algn="ctr"/>
          <a:r>
            <a:rPr lang="de-AT" sz="1050" i="1"/>
            <a:t>bessere</a:t>
          </a:r>
        </a:p>
        <a:p>
          <a:pPr algn="ctr"/>
          <a:r>
            <a:rPr lang="de-AT" sz="1300" b="1" i="1"/>
            <a:t>wirtschaftspolitische Steuerung</a:t>
          </a:r>
        </a:p>
      </dgm:t>
    </dgm:pt>
    <dgm:pt modelId="{B749A1F3-8FF1-43E1-BC03-33F989F24F33}" type="parTrans" cxnId="{CBFBF936-95B2-48DD-81D2-2D2417C11089}">
      <dgm:prSet/>
      <dgm:spPr/>
      <dgm:t>
        <a:bodyPr/>
        <a:lstStyle/>
        <a:p>
          <a:endParaRPr lang="de-AT"/>
        </a:p>
      </dgm:t>
    </dgm:pt>
    <dgm:pt modelId="{CB14DC07-087A-4E24-A542-B48F1132CCB6}" type="sibTrans" cxnId="{CBFBF936-95B2-48DD-81D2-2D2417C11089}">
      <dgm:prSet/>
      <dgm:spPr/>
      <dgm:t>
        <a:bodyPr/>
        <a:lstStyle/>
        <a:p>
          <a:endParaRPr lang="de-AT"/>
        </a:p>
      </dgm:t>
    </dgm:pt>
    <dgm:pt modelId="{50885C05-B971-4BDF-B5EB-0D31180B1C49}">
      <dgm:prSet custT="1"/>
      <dgm:spPr>
        <a:gradFill flip="none" rotWithShape="0">
          <a:gsLst>
            <a:gs pos="0">
              <a:srgbClr val="FFFF66">
                <a:tint val="66000"/>
                <a:satMod val="160000"/>
              </a:srgbClr>
            </a:gs>
            <a:gs pos="50000">
              <a:srgbClr val="FFFF66">
                <a:tint val="44500"/>
                <a:satMod val="160000"/>
              </a:srgbClr>
            </a:gs>
            <a:gs pos="100000">
              <a:srgbClr val="FFFF66">
                <a:tint val="23500"/>
                <a:satMod val="160000"/>
              </a:srgbClr>
            </a:gs>
          </a:gsLst>
          <a:lin ang="16200000" scaled="1"/>
          <a:tileRect/>
        </a:gradFill>
      </dgm:spPr>
      <dgm:t>
        <a:bodyPr/>
        <a:lstStyle/>
        <a:p>
          <a:pPr algn="ctr"/>
          <a:r>
            <a:rPr lang="de-AT" sz="1100" i="1"/>
            <a:t>bessere</a:t>
          </a:r>
        </a:p>
        <a:p>
          <a:pPr algn="ctr"/>
          <a:r>
            <a:rPr lang="de-AT" sz="1300" b="1" i="1">
              <a:solidFill>
                <a:sysClr val="windowText" lastClr="000000"/>
              </a:solidFill>
            </a:rPr>
            <a:t>Finanzmarkt-regulierung und </a:t>
          </a:r>
          <a:br>
            <a:rPr lang="de-AT" sz="1300" b="1" i="1">
              <a:solidFill>
                <a:sysClr val="windowText" lastClr="000000"/>
              </a:solidFill>
            </a:rPr>
          </a:br>
          <a:r>
            <a:rPr lang="de-AT" sz="1300" b="1" i="1">
              <a:solidFill>
                <a:sysClr val="windowText" lastClr="000000"/>
              </a:solidFill>
            </a:rPr>
            <a:t>-aufsicht</a:t>
          </a:r>
        </a:p>
      </dgm:t>
    </dgm:pt>
    <dgm:pt modelId="{B03CB982-307A-40DE-AB79-2D99331E63A8}" type="parTrans" cxnId="{C7150C79-C50D-4752-8E55-82790DF19C99}">
      <dgm:prSet/>
      <dgm:spPr/>
      <dgm:t>
        <a:bodyPr/>
        <a:lstStyle/>
        <a:p>
          <a:endParaRPr lang="de-AT"/>
        </a:p>
      </dgm:t>
    </dgm:pt>
    <dgm:pt modelId="{B3A26FBD-4CE1-444C-88E2-8D25568097F2}" type="sibTrans" cxnId="{C7150C79-C50D-4752-8E55-82790DF19C99}">
      <dgm:prSet/>
      <dgm:spPr/>
      <dgm:t>
        <a:bodyPr/>
        <a:lstStyle/>
        <a:p>
          <a:endParaRPr lang="de-AT"/>
        </a:p>
      </dgm:t>
    </dgm:pt>
    <dgm:pt modelId="{F8865B59-F61C-4269-A0E5-A80AC841F7C6}" type="pres">
      <dgm:prSet presAssocID="{97AD5ED1-ADBA-40F9-9CF3-4AFB50D63F1A}" presName="theList" presStyleCnt="0">
        <dgm:presLayoutVars>
          <dgm:dir/>
          <dgm:animLvl val="lvl"/>
          <dgm:resizeHandles val="exact"/>
        </dgm:presLayoutVars>
      </dgm:prSet>
      <dgm:spPr/>
      <dgm:t>
        <a:bodyPr/>
        <a:lstStyle/>
        <a:p>
          <a:endParaRPr lang="de-AT"/>
        </a:p>
      </dgm:t>
    </dgm:pt>
    <dgm:pt modelId="{E100330A-E64B-4C23-A541-6589D4716937}" type="pres">
      <dgm:prSet presAssocID="{658FE3B6-090C-4955-8B0A-BF8374F3BFDA}" presName="compNode" presStyleCnt="0"/>
      <dgm:spPr/>
    </dgm:pt>
    <dgm:pt modelId="{016519C0-D90F-4F13-AC72-27259B31AF38}" type="pres">
      <dgm:prSet presAssocID="{658FE3B6-090C-4955-8B0A-BF8374F3BFDA}" presName="aNode" presStyleLbl="bgShp" presStyleIdx="0" presStyleCnt="3" custLinFactNeighborX="-38"/>
      <dgm:spPr/>
      <dgm:t>
        <a:bodyPr/>
        <a:lstStyle/>
        <a:p>
          <a:endParaRPr lang="de-AT"/>
        </a:p>
      </dgm:t>
    </dgm:pt>
    <dgm:pt modelId="{E75E7105-8B3C-41E6-B3C3-3E04A5ECCDB5}" type="pres">
      <dgm:prSet presAssocID="{658FE3B6-090C-4955-8B0A-BF8374F3BFDA}" presName="textNode" presStyleLbl="bgShp" presStyleIdx="0" presStyleCnt="3"/>
      <dgm:spPr/>
      <dgm:t>
        <a:bodyPr/>
        <a:lstStyle/>
        <a:p>
          <a:endParaRPr lang="de-AT"/>
        </a:p>
      </dgm:t>
    </dgm:pt>
    <dgm:pt modelId="{7663E3D6-6A53-4AFD-ADBC-6936F8829F24}" type="pres">
      <dgm:prSet presAssocID="{658FE3B6-090C-4955-8B0A-BF8374F3BFDA}" presName="compChildNode" presStyleCnt="0"/>
      <dgm:spPr/>
    </dgm:pt>
    <dgm:pt modelId="{992EDAE2-11F2-4EB2-8409-073B6F82006D}" type="pres">
      <dgm:prSet presAssocID="{658FE3B6-090C-4955-8B0A-BF8374F3BFDA}" presName="theInnerList" presStyleCnt="0"/>
      <dgm:spPr/>
    </dgm:pt>
    <dgm:pt modelId="{09532437-6044-4735-B65D-E018C2495156}" type="pres">
      <dgm:prSet presAssocID="{AFCED996-C48F-4958-9B23-697C7F96EB3C}" presName="childNode" presStyleLbl="node1" presStyleIdx="0" presStyleCnt="3" custScaleY="30408" custLinFactNeighborX="-1727" custLinFactNeighborY="-40192">
        <dgm:presLayoutVars>
          <dgm:bulletEnabled val="1"/>
        </dgm:presLayoutVars>
      </dgm:prSet>
      <dgm:spPr/>
      <dgm:t>
        <a:bodyPr/>
        <a:lstStyle/>
        <a:p>
          <a:endParaRPr lang="de-AT"/>
        </a:p>
      </dgm:t>
    </dgm:pt>
    <dgm:pt modelId="{87EEB2B6-190B-4B09-B61B-5D8A4E6FC6E3}" type="pres">
      <dgm:prSet presAssocID="{658FE3B6-090C-4955-8B0A-BF8374F3BFDA}" presName="aSpace" presStyleCnt="0"/>
      <dgm:spPr/>
    </dgm:pt>
    <dgm:pt modelId="{7F74B38A-108B-411F-AED3-D0756E3CD2E6}" type="pres">
      <dgm:prSet presAssocID="{E4016F7C-5BA8-4352-B8EE-5AB88253526D}" presName="compNode" presStyleCnt="0"/>
      <dgm:spPr/>
    </dgm:pt>
    <dgm:pt modelId="{FBA9A13B-B23D-4262-9F40-D39ACCA48007}" type="pres">
      <dgm:prSet presAssocID="{E4016F7C-5BA8-4352-B8EE-5AB88253526D}" presName="aNode" presStyleLbl="bgShp" presStyleIdx="1" presStyleCnt="3"/>
      <dgm:spPr/>
      <dgm:t>
        <a:bodyPr/>
        <a:lstStyle/>
        <a:p>
          <a:endParaRPr lang="de-AT"/>
        </a:p>
      </dgm:t>
    </dgm:pt>
    <dgm:pt modelId="{0226CD55-E366-4778-83D0-D3E59ED1C7AA}" type="pres">
      <dgm:prSet presAssocID="{E4016F7C-5BA8-4352-B8EE-5AB88253526D}" presName="textNode" presStyleLbl="bgShp" presStyleIdx="1" presStyleCnt="3"/>
      <dgm:spPr/>
      <dgm:t>
        <a:bodyPr/>
        <a:lstStyle/>
        <a:p>
          <a:endParaRPr lang="de-AT"/>
        </a:p>
      </dgm:t>
    </dgm:pt>
    <dgm:pt modelId="{4DF055EE-E996-486E-AE36-18D6946B027E}" type="pres">
      <dgm:prSet presAssocID="{E4016F7C-5BA8-4352-B8EE-5AB88253526D}" presName="compChildNode" presStyleCnt="0"/>
      <dgm:spPr/>
    </dgm:pt>
    <dgm:pt modelId="{7F03FE6F-2ED1-47C6-8404-9A149B3F1722}" type="pres">
      <dgm:prSet presAssocID="{E4016F7C-5BA8-4352-B8EE-5AB88253526D}" presName="theInnerList" presStyleCnt="0"/>
      <dgm:spPr/>
    </dgm:pt>
    <dgm:pt modelId="{83109B24-B22C-4967-AB78-549BE66F246B}" type="pres">
      <dgm:prSet presAssocID="{12DFEBCC-1872-491F-AF6E-FB8F58D88FB7}" presName="childNode" presStyleLbl="node1" presStyleIdx="1" presStyleCnt="3" custScaleX="104340" custScaleY="30414" custLinFactNeighborX="-1303" custLinFactNeighborY="-40148">
        <dgm:presLayoutVars>
          <dgm:bulletEnabled val="1"/>
        </dgm:presLayoutVars>
      </dgm:prSet>
      <dgm:spPr/>
      <dgm:t>
        <a:bodyPr/>
        <a:lstStyle/>
        <a:p>
          <a:endParaRPr lang="de-AT"/>
        </a:p>
      </dgm:t>
    </dgm:pt>
    <dgm:pt modelId="{4C3275DE-3809-4320-9B1E-067952717938}" type="pres">
      <dgm:prSet presAssocID="{E4016F7C-5BA8-4352-B8EE-5AB88253526D}" presName="aSpace" presStyleCnt="0"/>
      <dgm:spPr/>
    </dgm:pt>
    <dgm:pt modelId="{4B3D3E29-4342-49BA-959B-5471705ED9BA}" type="pres">
      <dgm:prSet presAssocID="{935D8FD2-B786-458D-8EDC-B61B97A3D521}" presName="compNode" presStyleCnt="0"/>
      <dgm:spPr/>
    </dgm:pt>
    <dgm:pt modelId="{0B729D2A-F482-4D1F-8452-5F8A31DA3EBD}" type="pres">
      <dgm:prSet presAssocID="{935D8FD2-B786-458D-8EDC-B61B97A3D521}" presName="aNode" presStyleLbl="bgShp" presStyleIdx="2" presStyleCnt="3" custLinFactNeighborX="39"/>
      <dgm:spPr/>
      <dgm:t>
        <a:bodyPr/>
        <a:lstStyle/>
        <a:p>
          <a:endParaRPr lang="de-AT"/>
        </a:p>
      </dgm:t>
    </dgm:pt>
    <dgm:pt modelId="{3996222F-0B2C-4FEB-A838-1FC747D8E4FB}" type="pres">
      <dgm:prSet presAssocID="{935D8FD2-B786-458D-8EDC-B61B97A3D521}" presName="textNode" presStyleLbl="bgShp" presStyleIdx="2" presStyleCnt="3"/>
      <dgm:spPr/>
      <dgm:t>
        <a:bodyPr/>
        <a:lstStyle/>
        <a:p>
          <a:endParaRPr lang="de-AT"/>
        </a:p>
      </dgm:t>
    </dgm:pt>
    <dgm:pt modelId="{0CCE9286-23D3-45E3-8FB4-C1E322E4A531}" type="pres">
      <dgm:prSet presAssocID="{935D8FD2-B786-458D-8EDC-B61B97A3D521}" presName="compChildNode" presStyleCnt="0"/>
      <dgm:spPr/>
    </dgm:pt>
    <dgm:pt modelId="{B626B9FC-3481-4985-8610-C369ED74DE61}" type="pres">
      <dgm:prSet presAssocID="{935D8FD2-B786-458D-8EDC-B61B97A3D521}" presName="theInnerList" presStyleCnt="0"/>
      <dgm:spPr/>
    </dgm:pt>
    <dgm:pt modelId="{872F6C40-ED87-4B3E-AC0B-241EC03913AE}" type="pres">
      <dgm:prSet presAssocID="{50885C05-B971-4BDF-B5EB-0D31180B1C49}" presName="childNode" presStyleLbl="node1" presStyleIdx="2" presStyleCnt="3" custScaleX="105494" custScaleY="30420" custLinFactNeighborX="38" custLinFactNeighborY="-39702">
        <dgm:presLayoutVars>
          <dgm:bulletEnabled val="1"/>
        </dgm:presLayoutVars>
      </dgm:prSet>
      <dgm:spPr/>
      <dgm:t>
        <a:bodyPr/>
        <a:lstStyle/>
        <a:p>
          <a:endParaRPr lang="de-AT"/>
        </a:p>
      </dgm:t>
    </dgm:pt>
  </dgm:ptLst>
  <dgm:cxnLst>
    <dgm:cxn modelId="{E077CB83-0299-4D68-8CAE-7096CF6E19C1}" type="presOf" srcId="{E4016F7C-5BA8-4352-B8EE-5AB88253526D}" destId="{FBA9A13B-B23D-4262-9F40-D39ACCA48007}" srcOrd="0" destOrd="0" presId="urn:microsoft.com/office/officeart/2005/8/layout/lProcess2"/>
    <dgm:cxn modelId="{DBA820F2-6332-4842-8854-3353C152F57F}" srcId="{658FE3B6-090C-4955-8B0A-BF8374F3BFDA}" destId="{AFCED996-C48F-4958-9B23-697C7F96EB3C}" srcOrd="0" destOrd="0" parTransId="{F8DC3827-F7A5-497D-992E-E24DFD1DAB98}" sibTransId="{D04B4992-12D3-412F-937A-6F9F7513BEE5}"/>
    <dgm:cxn modelId="{BBC368EF-CA26-4138-AF25-D44D0A9DE3BD}" srcId="{97AD5ED1-ADBA-40F9-9CF3-4AFB50D63F1A}" destId="{E4016F7C-5BA8-4352-B8EE-5AB88253526D}" srcOrd="1" destOrd="0" parTransId="{F3551D72-2A5B-4721-B19E-05B7865124AD}" sibTransId="{3B5FB531-F808-493A-A9FD-B6FEEBD05F3E}"/>
    <dgm:cxn modelId="{7A897B21-8A0F-4ECD-913A-EBACFF216C69}" srcId="{97AD5ED1-ADBA-40F9-9CF3-4AFB50D63F1A}" destId="{935D8FD2-B786-458D-8EDC-B61B97A3D521}" srcOrd="2" destOrd="0" parTransId="{F292FC58-969C-475F-B5C4-2F4C40B23443}" sibTransId="{FCD8F049-2DFC-4621-87D6-37FDCE53EB01}"/>
    <dgm:cxn modelId="{33ED365B-B21E-40D7-A8DB-0E3DD1385B83}" type="presOf" srcId="{50885C05-B971-4BDF-B5EB-0D31180B1C49}" destId="{872F6C40-ED87-4B3E-AC0B-241EC03913AE}" srcOrd="0" destOrd="0" presId="urn:microsoft.com/office/officeart/2005/8/layout/lProcess2"/>
    <dgm:cxn modelId="{C7150C79-C50D-4752-8E55-82790DF19C99}" srcId="{935D8FD2-B786-458D-8EDC-B61B97A3D521}" destId="{50885C05-B971-4BDF-B5EB-0D31180B1C49}" srcOrd="0" destOrd="0" parTransId="{B03CB982-307A-40DE-AB79-2D99331E63A8}" sibTransId="{B3A26FBD-4CE1-444C-88E2-8D25568097F2}"/>
    <dgm:cxn modelId="{CBFBF936-95B2-48DD-81D2-2D2417C11089}" srcId="{E4016F7C-5BA8-4352-B8EE-5AB88253526D}" destId="{12DFEBCC-1872-491F-AF6E-FB8F58D88FB7}" srcOrd="0" destOrd="0" parTransId="{B749A1F3-8FF1-43E1-BC03-33F989F24F33}" sibTransId="{CB14DC07-087A-4E24-A542-B48F1132CCB6}"/>
    <dgm:cxn modelId="{7E6311BA-2FFA-4469-B3E2-EEEAEE8D228A}" type="presOf" srcId="{97AD5ED1-ADBA-40F9-9CF3-4AFB50D63F1A}" destId="{F8865B59-F61C-4269-A0E5-A80AC841F7C6}" srcOrd="0" destOrd="0" presId="urn:microsoft.com/office/officeart/2005/8/layout/lProcess2"/>
    <dgm:cxn modelId="{80383E4F-6A2F-4555-9C99-BA67E952E563}" type="presOf" srcId="{935D8FD2-B786-458D-8EDC-B61B97A3D521}" destId="{0B729D2A-F482-4D1F-8452-5F8A31DA3EBD}" srcOrd="0" destOrd="0" presId="urn:microsoft.com/office/officeart/2005/8/layout/lProcess2"/>
    <dgm:cxn modelId="{5B04B1B6-94E7-45B9-BD1E-87AC11F877FB}" srcId="{97AD5ED1-ADBA-40F9-9CF3-4AFB50D63F1A}" destId="{658FE3B6-090C-4955-8B0A-BF8374F3BFDA}" srcOrd="0" destOrd="0" parTransId="{DB7C82E4-ADCF-4665-8AB1-5DF5B36B9D8C}" sibTransId="{18302830-CF7E-498D-AB83-E0187DD8DF7B}"/>
    <dgm:cxn modelId="{4F060221-EDFF-4BEA-B26D-AEDAF0553AE9}" type="presOf" srcId="{12DFEBCC-1872-491F-AF6E-FB8F58D88FB7}" destId="{83109B24-B22C-4967-AB78-549BE66F246B}" srcOrd="0" destOrd="0" presId="urn:microsoft.com/office/officeart/2005/8/layout/lProcess2"/>
    <dgm:cxn modelId="{E0C9500B-AC08-413F-A55D-2EFF474F197E}" type="presOf" srcId="{E4016F7C-5BA8-4352-B8EE-5AB88253526D}" destId="{0226CD55-E366-4778-83D0-D3E59ED1C7AA}" srcOrd="1" destOrd="0" presId="urn:microsoft.com/office/officeart/2005/8/layout/lProcess2"/>
    <dgm:cxn modelId="{56008F60-BD1D-427F-A59F-420A331FA107}" type="presOf" srcId="{658FE3B6-090C-4955-8B0A-BF8374F3BFDA}" destId="{016519C0-D90F-4F13-AC72-27259B31AF38}" srcOrd="0" destOrd="0" presId="urn:microsoft.com/office/officeart/2005/8/layout/lProcess2"/>
    <dgm:cxn modelId="{6F1FC10F-E825-465E-8EEE-00A2C76D344F}" type="presOf" srcId="{658FE3B6-090C-4955-8B0A-BF8374F3BFDA}" destId="{E75E7105-8B3C-41E6-B3C3-3E04A5ECCDB5}" srcOrd="1" destOrd="0" presId="urn:microsoft.com/office/officeart/2005/8/layout/lProcess2"/>
    <dgm:cxn modelId="{3759C57B-D61D-43E5-860B-E021E4CAF95D}" type="presOf" srcId="{935D8FD2-B786-458D-8EDC-B61B97A3D521}" destId="{3996222F-0B2C-4FEB-A838-1FC747D8E4FB}" srcOrd="1" destOrd="0" presId="urn:microsoft.com/office/officeart/2005/8/layout/lProcess2"/>
    <dgm:cxn modelId="{930B0E26-E1E6-45A7-A353-D93A1F20C711}" type="presOf" srcId="{AFCED996-C48F-4958-9B23-697C7F96EB3C}" destId="{09532437-6044-4735-B65D-E018C2495156}" srcOrd="0" destOrd="0" presId="urn:microsoft.com/office/officeart/2005/8/layout/lProcess2"/>
    <dgm:cxn modelId="{0E58DE95-1610-4809-9D86-AD33AC1249E3}" type="presParOf" srcId="{F8865B59-F61C-4269-A0E5-A80AC841F7C6}" destId="{E100330A-E64B-4C23-A541-6589D4716937}" srcOrd="0" destOrd="0" presId="urn:microsoft.com/office/officeart/2005/8/layout/lProcess2"/>
    <dgm:cxn modelId="{578C6413-F58A-40C8-B3C2-EFAE90FFC7BA}" type="presParOf" srcId="{E100330A-E64B-4C23-A541-6589D4716937}" destId="{016519C0-D90F-4F13-AC72-27259B31AF38}" srcOrd="0" destOrd="0" presId="urn:microsoft.com/office/officeart/2005/8/layout/lProcess2"/>
    <dgm:cxn modelId="{8BA484A0-9E6C-498E-8EF8-9A4D29838312}" type="presParOf" srcId="{E100330A-E64B-4C23-A541-6589D4716937}" destId="{E75E7105-8B3C-41E6-B3C3-3E04A5ECCDB5}" srcOrd="1" destOrd="0" presId="urn:microsoft.com/office/officeart/2005/8/layout/lProcess2"/>
    <dgm:cxn modelId="{405B5984-76BD-443F-844F-7D43A0ED51DD}" type="presParOf" srcId="{E100330A-E64B-4C23-A541-6589D4716937}" destId="{7663E3D6-6A53-4AFD-ADBC-6936F8829F24}" srcOrd="2" destOrd="0" presId="urn:microsoft.com/office/officeart/2005/8/layout/lProcess2"/>
    <dgm:cxn modelId="{DC579E16-D3F4-42C0-9BBB-2ADC0F026717}" type="presParOf" srcId="{7663E3D6-6A53-4AFD-ADBC-6936F8829F24}" destId="{992EDAE2-11F2-4EB2-8409-073B6F82006D}" srcOrd="0" destOrd="0" presId="urn:microsoft.com/office/officeart/2005/8/layout/lProcess2"/>
    <dgm:cxn modelId="{5A41B2F3-8D0E-433B-BB00-7F58394A6858}" type="presParOf" srcId="{992EDAE2-11F2-4EB2-8409-073B6F82006D}" destId="{09532437-6044-4735-B65D-E018C2495156}" srcOrd="0" destOrd="0" presId="urn:microsoft.com/office/officeart/2005/8/layout/lProcess2"/>
    <dgm:cxn modelId="{8832704C-6EFD-4171-B2D1-5C79AA3506FE}" type="presParOf" srcId="{F8865B59-F61C-4269-A0E5-A80AC841F7C6}" destId="{87EEB2B6-190B-4B09-B61B-5D8A4E6FC6E3}" srcOrd="1" destOrd="0" presId="urn:microsoft.com/office/officeart/2005/8/layout/lProcess2"/>
    <dgm:cxn modelId="{BD965DDD-9CF7-427C-A7D7-5A67E3F65209}" type="presParOf" srcId="{F8865B59-F61C-4269-A0E5-A80AC841F7C6}" destId="{7F74B38A-108B-411F-AED3-D0756E3CD2E6}" srcOrd="2" destOrd="0" presId="urn:microsoft.com/office/officeart/2005/8/layout/lProcess2"/>
    <dgm:cxn modelId="{33C0A961-FF50-40DA-8F91-786AD2E07DD2}" type="presParOf" srcId="{7F74B38A-108B-411F-AED3-D0756E3CD2E6}" destId="{FBA9A13B-B23D-4262-9F40-D39ACCA48007}" srcOrd="0" destOrd="0" presId="urn:microsoft.com/office/officeart/2005/8/layout/lProcess2"/>
    <dgm:cxn modelId="{81C82CB0-85DA-4A8E-9250-50366B1B19BA}" type="presParOf" srcId="{7F74B38A-108B-411F-AED3-D0756E3CD2E6}" destId="{0226CD55-E366-4778-83D0-D3E59ED1C7AA}" srcOrd="1" destOrd="0" presId="urn:microsoft.com/office/officeart/2005/8/layout/lProcess2"/>
    <dgm:cxn modelId="{E4B990E0-B2B0-4079-95A4-B551B326E1F0}" type="presParOf" srcId="{7F74B38A-108B-411F-AED3-D0756E3CD2E6}" destId="{4DF055EE-E996-486E-AE36-18D6946B027E}" srcOrd="2" destOrd="0" presId="urn:microsoft.com/office/officeart/2005/8/layout/lProcess2"/>
    <dgm:cxn modelId="{0C15AED2-6DC9-4485-8847-99AF7E6ADAE3}" type="presParOf" srcId="{4DF055EE-E996-486E-AE36-18D6946B027E}" destId="{7F03FE6F-2ED1-47C6-8404-9A149B3F1722}" srcOrd="0" destOrd="0" presId="urn:microsoft.com/office/officeart/2005/8/layout/lProcess2"/>
    <dgm:cxn modelId="{F700833A-A326-4BD0-8210-15E6CA4EE436}" type="presParOf" srcId="{7F03FE6F-2ED1-47C6-8404-9A149B3F1722}" destId="{83109B24-B22C-4967-AB78-549BE66F246B}" srcOrd="0" destOrd="0" presId="urn:microsoft.com/office/officeart/2005/8/layout/lProcess2"/>
    <dgm:cxn modelId="{4878A283-1575-4179-A425-91D36AC27C9B}" type="presParOf" srcId="{F8865B59-F61C-4269-A0E5-A80AC841F7C6}" destId="{4C3275DE-3809-4320-9B1E-067952717938}" srcOrd="3" destOrd="0" presId="urn:microsoft.com/office/officeart/2005/8/layout/lProcess2"/>
    <dgm:cxn modelId="{E86E51A8-D56B-42DC-A78E-55DD148DECAD}" type="presParOf" srcId="{F8865B59-F61C-4269-A0E5-A80AC841F7C6}" destId="{4B3D3E29-4342-49BA-959B-5471705ED9BA}" srcOrd="4" destOrd="0" presId="urn:microsoft.com/office/officeart/2005/8/layout/lProcess2"/>
    <dgm:cxn modelId="{BB07806F-3B85-46E0-992D-67CC9327E19D}" type="presParOf" srcId="{4B3D3E29-4342-49BA-959B-5471705ED9BA}" destId="{0B729D2A-F482-4D1F-8452-5F8A31DA3EBD}" srcOrd="0" destOrd="0" presId="urn:microsoft.com/office/officeart/2005/8/layout/lProcess2"/>
    <dgm:cxn modelId="{0D710629-2FDC-428D-B7A3-D11B25E22E7D}" type="presParOf" srcId="{4B3D3E29-4342-49BA-959B-5471705ED9BA}" destId="{3996222F-0B2C-4FEB-A838-1FC747D8E4FB}" srcOrd="1" destOrd="0" presId="urn:microsoft.com/office/officeart/2005/8/layout/lProcess2"/>
    <dgm:cxn modelId="{3AF8AE9B-BE7C-4FC5-A02A-FF58945005D7}" type="presParOf" srcId="{4B3D3E29-4342-49BA-959B-5471705ED9BA}" destId="{0CCE9286-23D3-45E3-8FB4-C1E322E4A531}" srcOrd="2" destOrd="0" presId="urn:microsoft.com/office/officeart/2005/8/layout/lProcess2"/>
    <dgm:cxn modelId="{9C46C02F-1B5A-41CC-A23B-775A108434BA}" type="presParOf" srcId="{0CCE9286-23D3-45E3-8FB4-C1E322E4A531}" destId="{B626B9FC-3481-4985-8610-C369ED74DE61}" srcOrd="0" destOrd="0" presId="urn:microsoft.com/office/officeart/2005/8/layout/lProcess2"/>
    <dgm:cxn modelId="{3052062D-674D-4EA0-96DE-9DED058697B3}" type="presParOf" srcId="{B626B9FC-3481-4985-8610-C369ED74DE61}" destId="{872F6C40-ED87-4B3E-AC0B-241EC03913AE}" srcOrd="0" destOrd="0" presId="urn:microsoft.com/office/officeart/2005/8/layout/l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6519C0-D90F-4F13-AC72-27259B31AF38}">
      <dsp:nvSpPr>
        <dsp:cNvPr id="0" name=""/>
        <dsp:cNvSpPr/>
      </dsp:nvSpPr>
      <dsp:spPr>
        <a:xfrm>
          <a:off x="8" y="0"/>
          <a:ext cx="1857375" cy="4520794"/>
        </a:xfrm>
        <a:prstGeom prst="roundRect">
          <a:avLst>
            <a:gd name="adj" fmla="val 10000"/>
          </a:avLst>
        </a:prstGeom>
        <a:solidFill>
          <a:schemeClr val="bg1">
            <a:lumMod val="9500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de-AT" sz="2600" kern="1200"/>
            <a:t>Stabile Haushalte </a:t>
          </a:r>
        </a:p>
      </dsp:txBody>
      <dsp:txXfrm>
        <a:off x="8" y="0"/>
        <a:ext cx="1857375" cy="1356238"/>
      </dsp:txXfrm>
    </dsp:sp>
    <dsp:sp modelId="{09532437-6044-4735-B65D-E018C2495156}">
      <dsp:nvSpPr>
        <dsp:cNvPr id="0" name=""/>
        <dsp:cNvSpPr/>
      </dsp:nvSpPr>
      <dsp:spPr>
        <a:xfrm>
          <a:off x="160790" y="1197675"/>
          <a:ext cx="1485900" cy="893543"/>
        </a:xfrm>
        <a:prstGeom prst="roundRect">
          <a:avLst>
            <a:gd name="adj" fmla="val 10000"/>
          </a:avLst>
        </a:prstGeom>
        <a:gradFill flip="none" rotWithShape="1">
          <a:gsLst>
            <a:gs pos="0">
              <a:srgbClr val="FFFF66">
                <a:tint val="66000"/>
                <a:satMod val="160000"/>
              </a:srgbClr>
            </a:gs>
            <a:gs pos="50000">
              <a:srgbClr val="FFFF66">
                <a:tint val="44500"/>
                <a:satMod val="160000"/>
              </a:srgbClr>
            </a:gs>
            <a:gs pos="100000">
              <a:srgbClr val="FFFF66">
                <a:tint val="23500"/>
                <a:satMod val="160000"/>
              </a:srgbClr>
            </a:gs>
          </a:gsLst>
          <a:lin ang="16200000" scaled="1"/>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0955" rIns="27940" bIns="20955" numCol="1" spcCol="1270" anchor="ctr" anchorCtr="0">
          <a:noAutofit/>
        </a:bodyPr>
        <a:lstStyle/>
        <a:p>
          <a:pPr lvl="0" algn="ctr" defTabSz="466725">
            <a:lnSpc>
              <a:spcPct val="90000"/>
            </a:lnSpc>
            <a:spcBef>
              <a:spcPct val="0"/>
            </a:spcBef>
            <a:spcAft>
              <a:spcPct val="35000"/>
            </a:spcAft>
          </a:pPr>
          <a:r>
            <a:rPr lang="de-AT" sz="1050" i="1" kern="1200"/>
            <a:t>bessere</a:t>
          </a:r>
        </a:p>
        <a:p>
          <a:pPr lvl="0" algn="ctr" defTabSz="466725">
            <a:lnSpc>
              <a:spcPct val="90000"/>
            </a:lnSpc>
            <a:spcBef>
              <a:spcPct val="0"/>
            </a:spcBef>
            <a:spcAft>
              <a:spcPct val="35000"/>
            </a:spcAft>
          </a:pPr>
          <a:r>
            <a:rPr lang="de-AT" sz="1300" b="1" i="1" kern="1200"/>
            <a:t>haushaltspolitische Überwachung</a:t>
          </a:r>
        </a:p>
      </dsp:txBody>
      <dsp:txXfrm>
        <a:off x="186961" y="1223846"/>
        <a:ext cx="1433558" cy="841201"/>
      </dsp:txXfrm>
    </dsp:sp>
    <dsp:sp modelId="{FBA9A13B-B23D-4262-9F40-D39ACCA48007}">
      <dsp:nvSpPr>
        <dsp:cNvPr id="0" name=""/>
        <dsp:cNvSpPr/>
      </dsp:nvSpPr>
      <dsp:spPr>
        <a:xfrm>
          <a:off x="1997392" y="0"/>
          <a:ext cx="1857375" cy="4520794"/>
        </a:xfrm>
        <a:prstGeom prst="roundRect">
          <a:avLst>
            <a:gd name="adj" fmla="val 10000"/>
          </a:avLst>
        </a:prstGeom>
        <a:solidFill>
          <a:schemeClr val="bg1">
            <a:lumMod val="9500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de-AT" sz="2600" kern="1200"/>
            <a:t>Stabile Wirtschaft</a:t>
          </a:r>
        </a:p>
      </dsp:txBody>
      <dsp:txXfrm>
        <a:off x="1997392" y="0"/>
        <a:ext cx="1857375" cy="1356238"/>
      </dsp:txXfrm>
    </dsp:sp>
    <dsp:sp modelId="{83109B24-B22C-4967-AB78-549BE66F246B}">
      <dsp:nvSpPr>
        <dsp:cNvPr id="0" name=""/>
        <dsp:cNvSpPr/>
      </dsp:nvSpPr>
      <dsp:spPr>
        <a:xfrm>
          <a:off x="2131524" y="1198880"/>
          <a:ext cx="1550388" cy="893720"/>
        </a:xfrm>
        <a:prstGeom prst="roundRect">
          <a:avLst>
            <a:gd name="adj" fmla="val 10000"/>
          </a:avLst>
        </a:prstGeom>
        <a:gradFill flip="none" rotWithShape="0">
          <a:gsLst>
            <a:gs pos="0">
              <a:srgbClr val="FFFF66">
                <a:tint val="66000"/>
                <a:satMod val="160000"/>
              </a:srgbClr>
            </a:gs>
            <a:gs pos="50000">
              <a:srgbClr val="FFFF66">
                <a:tint val="44500"/>
                <a:satMod val="160000"/>
              </a:srgbClr>
            </a:gs>
            <a:gs pos="100000">
              <a:srgbClr val="FFFF66">
                <a:tint val="23500"/>
                <a:satMod val="160000"/>
              </a:srgbClr>
            </a:gs>
          </a:gsLst>
          <a:lin ang="16200000" scaled="1"/>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0955" rIns="27940" bIns="20955" numCol="1" spcCol="1270" anchor="ctr" anchorCtr="0">
          <a:noAutofit/>
        </a:bodyPr>
        <a:lstStyle/>
        <a:p>
          <a:pPr lvl="0" algn="ctr" defTabSz="466725">
            <a:lnSpc>
              <a:spcPct val="90000"/>
            </a:lnSpc>
            <a:spcBef>
              <a:spcPct val="0"/>
            </a:spcBef>
            <a:spcAft>
              <a:spcPct val="35000"/>
            </a:spcAft>
          </a:pPr>
          <a:r>
            <a:rPr lang="de-AT" sz="1050" i="1" kern="1200"/>
            <a:t>bessere</a:t>
          </a:r>
        </a:p>
        <a:p>
          <a:pPr lvl="0" algn="ctr" defTabSz="466725">
            <a:lnSpc>
              <a:spcPct val="90000"/>
            </a:lnSpc>
            <a:spcBef>
              <a:spcPct val="0"/>
            </a:spcBef>
            <a:spcAft>
              <a:spcPct val="35000"/>
            </a:spcAft>
          </a:pPr>
          <a:r>
            <a:rPr lang="de-AT" sz="1300" b="1" i="1" kern="1200"/>
            <a:t>wirtschaftspolitische Steuerung</a:t>
          </a:r>
        </a:p>
      </dsp:txBody>
      <dsp:txXfrm>
        <a:off x="2157700" y="1225056"/>
        <a:ext cx="1498036" cy="841368"/>
      </dsp:txXfrm>
    </dsp:sp>
    <dsp:sp modelId="{0B729D2A-F482-4D1F-8452-5F8A31DA3EBD}">
      <dsp:nvSpPr>
        <dsp:cNvPr id="0" name=""/>
        <dsp:cNvSpPr/>
      </dsp:nvSpPr>
      <dsp:spPr>
        <a:xfrm>
          <a:off x="3994785" y="0"/>
          <a:ext cx="1857375" cy="4520794"/>
        </a:xfrm>
        <a:prstGeom prst="roundRect">
          <a:avLst>
            <a:gd name="adj" fmla="val 10000"/>
          </a:avLst>
        </a:prstGeom>
        <a:solidFill>
          <a:schemeClr val="bg1">
            <a:lumMod val="9500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de-AT" sz="2600" kern="1200"/>
            <a:t>Stabiler Finanzmarkt</a:t>
          </a:r>
        </a:p>
      </dsp:txBody>
      <dsp:txXfrm>
        <a:off x="3994785" y="0"/>
        <a:ext cx="1857375" cy="1356238"/>
      </dsp:txXfrm>
    </dsp:sp>
    <dsp:sp modelId="{872F6C40-ED87-4B3E-AC0B-241EC03913AE}">
      <dsp:nvSpPr>
        <dsp:cNvPr id="0" name=""/>
        <dsp:cNvSpPr/>
      </dsp:nvSpPr>
      <dsp:spPr>
        <a:xfrm>
          <a:off x="4139555" y="1211898"/>
          <a:ext cx="1567535" cy="893896"/>
        </a:xfrm>
        <a:prstGeom prst="roundRect">
          <a:avLst>
            <a:gd name="adj" fmla="val 10000"/>
          </a:avLst>
        </a:prstGeom>
        <a:gradFill flip="none" rotWithShape="0">
          <a:gsLst>
            <a:gs pos="0">
              <a:srgbClr val="FFFF66">
                <a:tint val="66000"/>
                <a:satMod val="160000"/>
              </a:srgbClr>
            </a:gs>
            <a:gs pos="50000">
              <a:srgbClr val="FFFF66">
                <a:tint val="44500"/>
                <a:satMod val="160000"/>
              </a:srgbClr>
            </a:gs>
            <a:gs pos="100000">
              <a:srgbClr val="FFFF66">
                <a:tint val="23500"/>
                <a:satMod val="160000"/>
              </a:srgbClr>
            </a:gs>
          </a:gsLst>
          <a:lin ang="16200000" scaled="1"/>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de-AT" sz="1100" i="1" kern="1200"/>
            <a:t>bessere</a:t>
          </a:r>
        </a:p>
        <a:p>
          <a:pPr lvl="0" algn="ctr" defTabSz="488950">
            <a:lnSpc>
              <a:spcPct val="90000"/>
            </a:lnSpc>
            <a:spcBef>
              <a:spcPct val="0"/>
            </a:spcBef>
            <a:spcAft>
              <a:spcPct val="35000"/>
            </a:spcAft>
          </a:pPr>
          <a:r>
            <a:rPr lang="de-AT" sz="1300" b="1" i="1" kern="1200">
              <a:solidFill>
                <a:sysClr val="windowText" lastClr="000000"/>
              </a:solidFill>
            </a:rPr>
            <a:t>Finanzmarkt-regulierung und </a:t>
          </a:r>
          <a:br>
            <a:rPr lang="de-AT" sz="1300" b="1" i="1" kern="1200">
              <a:solidFill>
                <a:sysClr val="windowText" lastClr="000000"/>
              </a:solidFill>
            </a:rPr>
          </a:br>
          <a:r>
            <a:rPr lang="de-AT" sz="1300" b="1" i="1" kern="1200">
              <a:solidFill>
                <a:sysClr val="windowText" lastClr="000000"/>
              </a:solidFill>
            </a:rPr>
            <a:t>-aufsicht</a:t>
          </a:r>
        </a:p>
      </dsp:txBody>
      <dsp:txXfrm>
        <a:off x="4165736" y="1238079"/>
        <a:ext cx="1515173" cy="84153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II.5. EU-Gemeinderäteinformation Stärkung des europäischen Finanzsektors aktualisiert"/>
    <f:field ref="objsubject" par="" edit="true" text=""/>
    <f:field ref="objcreatedby" par="" text="Griesebner, Roswitha"/>
    <f:field ref="objcreatedat" par="" text="28.03.2014 15:40:53"/>
    <f:field ref="objchangedby" par="" text="Weinmann, Rupert, Mag."/>
    <f:field ref="objmodifiedat" par="" text="04.04.2014 17:20:22"/>
    <f:field ref="doc_FSCFOLIO_1_1001_FieldDocumentNumber" par="" text=""/>
    <f:field ref="doc_FSCFOLIO_1_1001_FieldSubject" par="" edit="true" text=""/>
    <f:field ref="FSCFOLIO_1_1001_FieldCurrentUser" par="" text="Gerrit Seidl, MA"/>
    <f:field ref="CCAPRECONFIG_15_1001_Objektname" par="" edit="true" text="VII.5. EU-Gemeinderäteinformation Stärkung des europäischen Finanzsektors aktualisiert"/>
    <f:field ref="EIBVFGH_15_1700_FieldPartPlaintiffList" par="" text=""/>
    <f:field ref="EIBVFGH_15_1700_FieldGoesOutToList" par="" text=""/>
  </f:record>
  <f:display par="" text="...">
    <f:field ref="FSCFOLIO_1_1001_FieldCurrentUser" text="Aktueller Benutzer"/>
    <f:field ref="objsubject" text="Anmerkungen"/>
    <f:field ref="EIBVFGH_15_1700_FieldGoesOutToList" text="Ergeht an Liste"/>
    <f:field ref="objcreatedat" text="Erzeugt am/um"/>
    <f:field ref="objcreatedby" text="Erzeugt von"/>
    <f:field ref="objmodifiedat" text="Letzte Änderung am/um"/>
    <f:field ref="objchangedby" text="Letzte Änderung von"/>
    <f:field ref="EIBVFGH_15_1700_FieldPartPlaintiffList" text="Liste der Antragsteller"/>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F59E46C-C513-4490-A0BB-6D686D0D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31C2A97.dotm</Template>
  <TotalTime>0</TotalTime>
  <Pages>1</Pages>
  <Words>1086</Words>
  <Characters>6847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Aussenministerium</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wolfgang.renezeder</dc:creator>
  <cp:keywords/>
  <dc:description/>
  <cp:lastModifiedBy>rupert.weinmann</cp:lastModifiedBy>
  <cp:revision>4</cp:revision>
  <cp:lastPrinted>2014-03-27T10:17:00Z</cp:lastPrinted>
  <dcterms:created xsi:type="dcterms:W3CDTF">2014-03-28T13:31:00Z</dcterms:created>
  <dcterms:modified xsi:type="dcterms:W3CDTF">2014-04-04T15:19:00Z</dcterms:modified>
</cp:coreProperties>
</file>

<file path=docProps/custom.xml><?xml version="1.0" encoding="utf-8"?>
<Properties xmlns="http://schemas.openxmlformats.org/officeDocument/2006/custom-properties" xmlns:vt="http://schemas.openxmlformats.org/officeDocument/2006/docPropsVTypes">
  <property name="FSC#EIBPRECONFIG@1.1001:EIBInternalApprovedAt" pid="2" fmtid="{D5CDD505-2E9C-101B-9397-08002B2CF9AE}">
    <vt:lpwstr/>
  </property>
  <property name="FSC#EIBPRECONFIG@1.1001:EIBInternalApprovedBy" pid="3" fmtid="{D5CDD505-2E9C-101B-9397-08002B2CF9AE}">
    <vt:lpwstr/>
  </property>
  <property name="FSC#EIBPRECONFIG@1.1001:EIBInternalApprovedByPostTitle" pid="4" fmtid="{D5CDD505-2E9C-101B-9397-08002B2CF9AE}">
    <vt:lpwstr/>
  </property>
  <property name="FSC#EIBPRECONFIG@1.1001:EIBSettlementApprovedBy" pid="5" fmtid="{D5CDD505-2E9C-101B-9397-08002B2CF9AE}">
    <vt:lpwstr/>
  </property>
  <property name="FSC#EIBPRECONFIG@1.1001:EIBSettlementApprovedByPostTitle" pid="6" fmtid="{D5CDD505-2E9C-101B-9397-08002B2CF9AE}">
    <vt:lpwstr/>
  </property>
  <property name="FSC#EIBPRECONFIG@1.1001:EIBApprovedAt" pid="7" fmtid="{D5CDD505-2E9C-101B-9397-08002B2CF9AE}">
    <vt:lpwstr/>
  </property>
  <property name="FSC#EIBPRECONFIG@1.1001:EIBApprovedBy" pid="8" fmtid="{D5CDD505-2E9C-101B-9397-08002B2CF9AE}">
    <vt:lpwstr/>
  </property>
  <property name="FSC#EIBPRECONFIG@1.1001:EIBApprovedBySubst" pid="9" fmtid="{D5CDD505-2E9C-101B-9397-08002B2CF9AE}">
    <vt:lpwstr/>
  </property>
  <property name="FSC#EIBPRECONFIG@1.1001:EIBApprovedByTitle" pid="10" fmtid="{D5CDD505-2E9C-101B-9397-08002B2CF9AE}">
    <vt:lpwstr/>
  </property>
  <property name="FSC#EIBPRECONFIG@1.1001:EIBApprovedByPostTitle" pid="11" fmtid="{D5CDD505-2E9C-101B-9397-08002B2CF9AE}">
    <vt:lpwstr/>
  </property>
  <property name="FSC#EIBPRECONFIG@1.1001:EIBDepartment" pid="12" fmtid="{D5CDD505-2E9C-101B-9397-08002B2CF9AE}">
    <vt:lpwstr>BMEIA - III (Sektion)</vt:lpwstr>
  </property>
  <property name="FSC#EIBPRECONFIG@1.1001:EIBDispatchedBy" pid="13" fmtid="{D5CDD505-2E9C-101B-9397-08002B2CF9AE}">
    <vt:lpwstr/>
  </property>
  <property name="FSC#EIBPRECONFIG@1.1001:EIBDispatchedByPostTitle" pid="14" fmtid="{D5CDD505-2E9C-101B-9397-08002B2CF9AE}">
    <vt:lpwstr/>
  </property>
  <property name="FSC#EIBPRECONFIG@1.1001:ExtRefInc" pid="15" fmtid="{D5CDD505-2E9C-101B-9397-08002B2CF9AE}">
    <vt:lpwstr/>
  </property>
  <property name="FSC#EIBPRECONFIG@1.1001:IncomingAddrdate" pid="16" fmtid="{D5CDD505-2E9C-101B-9397-08002B2CF9AE}">
    <vt:lpwstr/>
  </property>
  <property name="FSC#EIBPRECONFIG@1.1001:IncomingDelivery" pid="17" fmtid="{D5CDD505-2E9C-101B-9397-08002B2CF9AE}">
    <vt:lpwstr/>
  </property>
  <property name="FSC#EIBPRECONFIG@1.1001:OwnerEmail" pid="18" fmtid="{D5CDD505-2E9C-101B-9397-08002B2CF9AE}">
    <vt:lpwstr>roswitha.griesebner@bmeia.gv.at</vt:lpwstr>
  </property>
  <property name="FSC#EIBPRECONFIG@1.1001:OUEmail" pid="19" fmtid="{D5CDD505-2E9C-101B-9397-08002B2CF9AE}">
    <vt:lpwstr>sektioniii@bmeia.gv.at</vt:lpwstr>
  </property>
  <property name="FSC#EIBPRECONFIG@1.1001:OwnerGender" pid="20" fmtid="{D5CDD505-2E9C-101B-9397-08002B2CF9AE}">
    <vt:lpwstr/>
  </property>
  <property name="FSC#EIBPRECONFIG@1.1001:Priority" pid="21" fmtid="{D5CDD505-2E9C-101B-9397-08002B2CF9AE}">
    <vt:lpwstr>Nein</vt:lpwstr>
  </property>
  <property name="FSC#EIBPRECONFIG@1.1001:PreviousFiles" pid="22" fmtid="{D5CDD505-2E9C-101B-9397-08002B2CF9AE}">
    <vt:lpwstr/>
  </property>
  <property name="FSC#EIBPRECONFIG@1.1001:NextFiles" pid="23" fmtid="{D5CDD505-2E9C-101B-9397-08002B2CF9AE}">
    <vt:lpwstr/>
  </property>
  <property name="FSC#EIBPRECONFIG@1.1001:RelatedFiles" pid="24" fmtid="{D5CDD505-2E9C-101B-9397-08002B2CF9AE}">
    <vt:lpwstr/>
  </property>
  <property name="FSC#EIBPRECONFIG@1.1001:CompletedOrdinals" pid="25" fmtid="{D5CDD505-2E9C-101B-9397-08002B2CF9AE}">
    <vt:lpwstr/>
  </property>
  <property name="FSC#EIBPRECONFIG@1.1001:NrAttachments" pid="26" fmtid="{D5CDD505-2E9C-101B-9397-08002B2CF9AE}">
    <vt:lpwstr/>
  </property>
  <property name="FSC#EIBPRECONFIG@1.1001:Attachments" pid="27" fmtid="{D5CDD505-2E9C-101B-9397-08002B2CF9AE}">
    <vt:lpwstr/>
  </property>
  <property name="FSC#EIBPRECONFIG@1.1001:SubjectArea" pid="28" fmtid="{D5CDD505-2E9C-101B-9397-08002B2CF9AE}">
    <vt:lpwstr/>
  </property>
  <property name="FSC#EIBPRECONFIG@1.1001:Recipients" pid="29" fmtid="{D5CDD505-2E9C-101B-9397-08002B2CF9AE}">
    <vt:lpwstr/>
  </property>
  <property name="FSC#EIBPRECONFIG@1.1001:Classified" pid="30" fmtid="{D5CDD505-2E9C-101B-9397-08002B2CF9AE}">
    <vt:lpwstr/>
  </property>
  <property name="FSC#EIBPRECONFIG@1.1001:Deadline" pid="31" fmtid="{D5CDD505-2E9C-101B-9397-08002B2CF9AE}">
    <vt:lpwstr/>
  </property>
  <property name="FSC#EIBPRECONFIG@1.1001:SettlementSubj" pid="32" fmtid="{D5CDD505-2E9C-101B-9397-08002B2CF9AE}">
    <vt:lpwstr>BMEIA-EU.3.13.04/0016-III.1/2014</vt:lpwstr>
  </property>
  <property name="FSC#EIBPRECONFIG@1.1001:OUAddr" pid="33" fmtid="{D5CDD505-2E9C-101B-9397-08002B2CF9AE}">
    <vt:lpwstr> ,  </vt:lpwstr>
  </property>
  <property name="FSC#EIBPRECONFIG@1.1001:OUDescr" pid="34" fmtid="{D5CDD505-2E9C-101B-9397-08002B2CF9AE}">
    <vt:lpwstr/>
  </property>
  <property name="FSC#EIBPRECONFIG@1.1001:Signatures" pid="35" fmtid="{D5CDD505-2E9C-101B-9397-08002B2CF9AE}">
    <vt:lpwstr/>
  </property>
  <property name="FSC#EIBPRECONFIG@1.1001:currentuser" pid="36" fmtid="{D5CDD505-2E9C-101B-9397-08002B2CF9AE}">
    <vt:lpwstr>COO.3000.100.1.519326</vt:lpwstr>
  </property>
  <property name="FSC#EIBPRECONFIG@1.1001:currentuserrolegroup" pid="37" fmtid="{D5CDD505-2E9C-101B-9397-08002B2CF9AE}">
    <vt:lpwstr>COO.3000.100.1.147089</vt:lpwstr>
  </property>
  <property name="FSC#EIBPRECONFIG@1.1001:currentuserroleposition" pid="38" fmtid="{D5CDD505-2E9C-101B-9397-08002B2CF9AE}">
    <vt:lpwstr>COO.1.1001.1.4328</vt:lpwstr>
  </property>
  <property name="FSC#EIBPRECONFIG@1.1001:currentuserroot" pid="39" fmtid="{D5CDD505-2E9C-101B-9397-08002B2CF9AE}">
    <vt:lpwstr>COO.3000.112.11.668836</vt:lpwstr>
  </property>
  <property name="FSC#EIBPRECONFIG@1.1001:toplevelobject" pid="40" fmtid="{D5CDD505-2E9C-101B-9397-08002B2CF9AE}">
    <vt:lpwstr>COO.3000.112.16.3330238</vt:lpwstr>
  </property>
  <property name="FSC#EIBPRECONFIG@1.1001:objchangedby" pid="41" fmtid="{D5CDD505-2E9C-101B-9397-08002B2CF9AE}">
    <vt:lpwstr>Mag. Rupert Weinmann</vt:lpwstr>
  </property>
  <property name="FSC#EIBPRECONFIG@1.1001:objchangedbyPostTitle" pid="42" fmtid="{D5CDD505-2E9C-101B-9397-08002B2CF9AE}">
    <vt:lpwstr/>
  </property>
  <property name="FSC#EIBPRECONFIG@1.1001:objchangedat" pid="43" fmtid="{D5CDD505-2E9C-101B-9397-08002B2CF9AE}">
    <vt:lpwstr>04.04.2014</vt:lpwstr>
  </property>
  <property name="FSC#EIBPRECONFIG@1.1001:objname" pid="44" fmtid="{D5CDD505-2E9C-101B-9397-08002B2CF9AE}">
    <vt:lpwstr>VII.5. EU-Gemeinderäteinformation Stärkung des europäischen Finanzsektors aktualisiert</vt:lpwstr>
  </property>
  <property name="FSC#EIBPRECONFIG@1.1001:EIBProcessResponsiblePhone" pid="45" fmtid="{D5CDD505-2E9C-101B-9397-08002B2CF9AE}">
    <vt:lpwstr>3923</vt:lpwstr>
  </property>
  <property name="FSC#EIBPRECONFIG@1.1001:EIBProcessResponsibleMail" pid="46" fmtid="{D5CDD505-2E9C-101B-9397-08002B2CF9AE}">
    <vt:lpwstr>rupert.weinmann@bmeia.gv.at</vt:lpwstr>
  </property>
  <property name="FSC#EIBPRECONFIG@1.1001:EIBProcessResponsibleFax" pid="47" fmtid="{D5CDD505-2E9C-101B-9397-08002B2CF9AE}">
    <vt:lpwstr>3923</vt:lpwstr>
  </property>
  <property name="FSC#EIBPRECONFIG@1.1001:EIBProcessResponsiblePostTitle" pid="48" fmtid="{D5CDD505-2E9C-101B-9397-08002B2CF9AE}">
    <vt:lpwstr/>
  </property>
  <property name="FSC#EIBPRECONFIG@1.1001:EIBProcessResponsible" pid="49" fmtid="{D5CDD505-2E9C-101B-9397-08002B2CF9AE}">
    <vt:lpwstr>Mag. Rupert Weinmann</vt:lpwstr>
  </property>
  <property name="FSC#EIBPRECONFIG@1.1001:OwnerPostTitle" pid="50" fmtid="{D5CDD505-2E9C-101B-9397-08002B2CF9AE}">
    <vt:lpwstr/>
  </property>
  <property name="FSC#COOELAK@1.1001:Subject" pid="51" fmtid="{D5CDD505-2E9C-101B-9397-08002B2CF9AE}">
    <vt:lpwstr>EU-Gemeinderätetagung, Salzburg, 11. 4. 2014, Toolkit_x000d__x000a_</vt:lpwstr>
  </property>
  <property name="FSC#COOELAK@1.1001:FileReference" pid="52" fmtid="{D5CDD505-2E9C-101B-9397-08002B2CF9AE}">
    <vt:lpwstr>BMEIA-EU.3.13.04/0016-III.1/2014</vt:lpwstr>
  </property>
  <property name="FSC#COOELAK@1.1001:FileRefYear" pid="53" fmtid="{D5CDD505-2E9C-101B-9397-08002B2CF9AE}">
    <vt:lpwstr>2014</vt:lpwstr>
  </property>
  <property name="FSC#COOELAK@1.1001:FileRefOrdinal" pid="54" fmtid="{D5CDD505-2E9C-101B-9397-08002B2CF9AE}">
    <vt:lpwstr>16</vt:lpwstr>
  </property>
  <property name="FSC#COOELAK@1.1001:FileRefOU" pid="55" fmtid="{D5CDD505-2E9C-101B-9397-08002B2CF9AE}">
    <vt:lpwstr>III.1</vt:lpwstr>
  </property>
  <property name="FSC#COOELAK@1.1001:Organization" pid="56" fmtid="{D5CDD505-2E9C-101B-9397-08002B2CF9AE}">
    <vt:lpwstr/>
  </property>
  <property name="FSC#COOELAK@1.1001:Owner" pid="57" fmtid="{D5CDD505-2E9C-101B-9397-08002B2CF9AE}">
    <vt:lpwstr>Roswitha Griesebner</vt:lpwstr>
  </property>
  <property name="FSC#COOELAK@1.1001:OwnerExtension" pid="58" fmtid="{D5CDD505-2E9C-101B-9397-08002B2CF9AE}">
    <vt:lpwstr>3784</vt:lpwstr>
  </property>
  <property name="FSC#COOELAK@1.1001:OwnerFaxExtension" pid="59" fmtid="{D5CDD505-2E9C-101B-9397-08002B2CF9AE}">
    <vt:lpwstr>3784</vt:lpwstr>
  </property>
  <property name="FSC#COOELAK@1.1001:DispatchedBy" pid="60" fmtid="{D5CDD505-2E9C-101B-9397-08002B2CF9AE}">
    <vt:lpwstr/>
  </property>
  <property name="FSC#COOELAK@1.1001:DispatchedAt" pid="61" fmtid="{D5CDD505-2E9C-101B-9397-08002B2CF9AE}">
    <vt:lpwstr/>
  </property>
  <property name="FSC#COOELAK@1.1001:ApprovedBy" pid="62" fmtid="{D5CDD505-2E9C-101B-9397-08002B2CF9AE}">
    <vt:lpwstr/>
  </property>
  <property name="FSC#COOELAK@1.1001:ApprovedAt" pid="63" fmtid="{D5CDD505-2E9C-101B-9397-08002B2CF9AE}">
    <vt:lpwstr/>
  </property>
  <property name="FSC#COOELAK@1.1001:Department" pid="64" fmtid="{D5CDD505-2E9C-101B-9397-08002B2CF9AE}">
    <vt:lpwstr>BMEIA - III Sektionsassistenz (Sektionsassistenz III)</vt:lpwstr>
  </property>
  <property name="FSC#COOELAK@1.1001:CreatedAt" pid="65" fmtid="{D5CDD505-2E9C-101B-9397-08002B2CF9AE}">
    <vt:lpwstr>28.03.2014</vt:lpwstr>
  </property>
  <property name="FSC#COOELAK@1.1001:OU" pid="66" fmtid="{D5CDD505-2E9C-101B-9397-08002B2CF9AE}">
    <vt:lpwstr>BMEIA - III (Sektion)</vt:lpwstr>
  </property>
  <property name="FSC#COOELAK@1.1001:Priority" pid="67" fmtid="{D5CDD505-2E9C-101B-9397-08002B2CF9AE}">
    <vt:lpwstr> ()</vt:lpwstr>
  </property>
  <property name="FSC#COOELAK@1.1001:ObjBarCode" pid="68" fmtid="{D5CDD505-2E9C-101B-9397-08002B2CF9AE}">
    <vt:lpwstr>*COO.3000.112.15.2635118*</vt:lpwstr>
  </property>
  <property name="FSC#COOELAK@1.1001:RefBarCode" pid="69" fmtid="{D5CDD505-2E9C-101B-9397-08002B2CF9AE}">
    <vt:lpwstr/>
  </property>
  <property name="FSC#COOELAK@1.1001:FileRefBarCode" pid="70" fmtid="{D5CDD505-2E9C-101B-9397-08002B2CF9AE}">
    <vt:lpwstr>*BMEIA-EU.3.13.04/0016-III.1/2014*</vt:lpwstr>
  </property>
  <property name="FSC#COOELAK@1.1001:ExternalRef" pid="71" fmtid="{D5CDD505-2E9C-101B-9397-08002B2CF9AE}">
    <vt:lpwstr/>
  </property>
  <property name="FSC#COOELAK@1.1001:IncomingNumber" pid="72" fmtid="{D5CDD505-2E9C-101B-9397-08002B2CF9AE}">
    <vt:lpwstr/>
  </property>
  <property name="FSC#COOELAK@1.1001:IncomingSubject" pid="73" fmtid="{D5CDD505-2E9C-101B-9397-08002B2CF9AE}">
    <vt:lpwstr/>
  </property>
  <property name="FSC#COOELAK@1.1001:ProcessResponsible" pid="74" fmtid="{D5CDD505-2E9C-101B-9397-08002B2CF9AE}">
    <vt:lpwstr>Weinmann Rupert, Mag.</vt:lpwstr>
  </property>
  <property name="FSC#COOELAK@1.1001:ProcessResponsiblePhone" pid="75" fmtid="{D5CDD505-2E9C-101B-9397-08002B2CF9AE}">
    <vt:lpwstr>3923</vt:lpwstr>
  </property>
  <property name="FSC#COOELAK@1.1001:ProcessResponsibleMail" pid="76" fmtid="{D5CDD505-2E9C-101B-9397-08002B2CF9AE}">
    <vt:lpwstr>rupert.weinmann@bmeia.gv.at</vt:lpwstr>
  </property>
  <property name="FSC#COOELAK@1.1001:ProcessResponsibleFax" pid="77" fmtid="{D5CDD505-2E9C-101B-9397-08002B2CF9AE}">
    <vt:lpwstr>3923</vt:lpwstr>
  </property>
  <property name="FSC#COOELAK@1.1001:ApproverFirstName" pid="78" fmtid="{D5CDD505-2E9C-101B-9397-08002B2CF9AE}">
    <vt:lpwstr/>
  </property>
  <property name="FSC#COOELAK@1.1001:ApproverSurName" pid="79" fmtid="{D5CDD505-2E9C-101B-9397-08002B2CF9AE}">
    <vt:lpwstr/>
  </property>
  <property name="FSC#COOELAK@1.1001:ApproverTitle" pid="80" fmtid="{D5CDD505-2E9C-101B-9397-08002B2CF9AE}">
    <vt:lpwstr/>
  </property>
  <property name="FSC#COOELAK@1.1001:ExternalDate" pid="81" fmtid="{D5CDD505-2E9C-101B-9397-08002B2CF9AE}">
    <vt:lpwstr/>
  </property>
  <property name="FSC#COOELAK@1.1001:SettlementApprovedAt" pid="82" fmtid="{D5CDD505-2E9C-101B-9397-08002B2CF9AE}">
    <vt:lpwstr/>
  </property>
  <property name="FSC#COOELAK@1.1001:BaseNumber" pid="83" fmtid="{D5CDD505-2E9C-101B-9397-08002B2CF9AE}">
    <vt:lpwstr/>
  </property>
  <property name="FSC#COOELAK@1.1001:CurrentUserRolePos" pid="84" fmtid="{D5CDD505-2E9C-101B-9397-08002B2CF9AE}">
    <vt:lpwstr>Sachbearbeiter/in</vt:lpwstr>
  </property>
  <property name="FSC#COOELAK@1.1001:CurrentUserEmail" pid="85" fmtid="{D5CDD505-2E9C-101B-9397-08002B2CF9AE}">
    <vt:lpwstr>gerrit.seidl@bmeia.gv.at</vt:lpwstr>
  </property>
  <property name="FSC#ELAKGOV@1.1001:PersonalSubjGender" pid="86" fmtid="{D5CDD505-2E9C-101B-9397-08002B2CF9AE}">
    <vt:lpwstr/>
  </property>
  <property name="FSC#ELAKGOV@1.1001:PersonalSubjFirstName" pid="87" fmtid="{D5CDD505-2E9C-101B-9397-08002B2CF9AE}">
    <vt:lpwstr/>
  </property>
  <property name="FSC#ELAKGOV@1.1001:PersonalSubjSurName" pid="88" fmtid="{D5CDD505-2E9C-101B-9397-08002B2CF9AE}">
    <vt:lpwstr/>
  </property>
  <property name="FSC#ELAKGOV@1.1001:PersonalSubjSalutation" pid="89" fmtid="{D5CDD505-2E9C-101B-9397-08002B2CF9AE}">
    <vt:lpwstr/>
  </property>
  <property name="FSC#ELAKGOV@1.1001:PersonalSubjAddress" pid="90" fmtid="{D5CDD505-2E9C-101B-9397-08002B2CF9AE}">
    <vt:lpwstr/>
  </property>
  <property name="FSC#ATSTATECFG@1.1001:Office" pid="91" fmtid="{D5CDD505-2E9C-101B-9397-08002B2CF9AE}">
    <vt:lpwstr/>
  </property>
  <property name="FSC#ATSTATECFG@1.1001:Agent" pid="92" fmtid="{D5CDD505-2E9C-101B-9397-08002B2CF9AE}">
    <vt:lpwstr/>
  </property>
  <property name="FSC#ATSTATECFG@1.1001:AgentPhone" pid="93" fmtid="{D5CDD505-2E9C-101B-9397-08002B2CF9AE}">
    <vt:lpwstr/>
  </property>
  <property name="FSC#ATSTATECFG@1.1001:DepartmentFax" pid="94" fmtid="{D5CDD505-2E9C-101B-9397-08002B2CF9AE}">
    <vt:lpwstr/>
  </property>
  <property name="FSC#ATSTATECFG@1.1001:DepartmentEmail" pid="95" fmtid="{D5CDD505-2E9C-101B-9397-08002B2CF9AE}">
    <vt:lpwstr/>
  </property>
  <property name="FSC#ATSTATECFG@1.1001:SubfileDate" pid="96" fmtid="{D5CDD505-2E9C-101B-9397-08002B2CF9AE}">
    <vt:lpwstr/>
  </property>
  <property name="FSC#ATSTATECFG@1.1001:SubfileSubject" pid="97" fmtid="{D5CDD505-2E9C-101B-9397-08002B2CF9AE}">
    <vt:lpwstr/>
  </property>
  <property name="FSC#ATSTATECFG@1.1001:DepartmentZipCode" pid="98" fmtid="{D5CDD505-2E9C-101B-9397-08002B2CF9AE}">
    <vt:lpwstr/>
  </property>
  <property name="FSC#ATSTATECFG@1.1001:DepartmentCountry" pid="99" fmtid="{D5CDD505-2E9C-101B-9397-08002B2CF9AE}">
    <vt:lpwstr/>
  </property>
  <property name="FSC#ATSTATECFG@1.1001:DepartmentCity" pid="100" fmtid="{D5CDD505-2E9C-101B-9397-08002B2CF9AE}">
    <vt:lpwstr/>
  </property>
  <property name="FSC#ATSTATECFG@1.1001:DepartmentStreet" pid="101" fmtid="{D5CDD505-2E9C-101B-9397-08002B2CF9AE}">
    <vt:lpwstr/>
  </property>
  <property name="FSC#ATSTATECFG@1.1001:DepartmentDVR" pid="102" fmtid="{D5CDD505-2E9C-101B-9397-08002B2CF9AE}">
    <vt:lpwstr/>
  </property>
  <property name="FSC#ATSTATECFG@1.1001:DepartmentUID" pid="103" fmtid="{D5CDD505-2E9C-101B-9397-08002B2CF9AE}">
    <vt:lpwstr/>
  </property>
  <property name="FSC#ATSTATECFG@1.1001:SubfileReference" pid="104" fmtid="{D5CDD505-2E9C-101B-9397-08002B2CF9AE}">
    <vt:lpwstr/>
  </property>
  <property name="FSC#ATSTATECFG@1.1001:Clause" pid="105" fmtid="{D5CDD505-2E9C-101B-9397-08002B2CF9AE}">
    <vt:lpwstr/>
  </property>
  <property name="FSC#ATSTATECFG@1.1001:ApprovedSignature" pid="106" fmtid="{D5CDD505-2E9C-101B-9397-08002B2CF9AE}">
    <vt:lpwstr/>
  </property>
  <property name="FSC#ATSTATECFG@1.1001:BankAccount" pid="107" fmtid="{D5CDD505-2E9C-101B-9397-08002B2CF9AE}">
    <vt:lpwstr/>
  </property>
  <property name="FSC#ATSTATECFG@1.1001:BankAccountOwner" pid="108" fmtid="{D5CDD505-2E9C-101B-9397-08002B2CF9AE}">
    <vt:lpwstr/>
  </property>
  <property name="FSC#ATSTATECFG@1.1001:BankInstitute" pid="109" fmtid="{D5CDD505-2E9C-101B-9397-08002B2CF9AE}">
    <vt:lpwstr/>
  </property>
  <property name="FSC#ATSTATECFG@1.1001:BankAccountID" pid="110" fmtid="{D5CDD505-2E9C-101B-9397-08002B2CF9AE}">
    <vt:lpwstr/>
  </property>
  <property name="FSC#ATSTATECFG@1.1001:BankAccountIBAN" pid="111" fmtid="{D5CDD505-2E9C-101B-9397-08002B2CF9AE}">
    <vt:lpwstr/>
  </property>
  <property name="FSC#ATSTATECFG@1.1001:BankAccountBIC" pid="112" fmtid="{D5CDD505-2E9C-101B-9397-08002B2CF9AE}">
    <vt:lpwstr/>
  </property>
  <property name="FSC#ATSTATECFG@1.1001:BankName" pid="113" fmtid="{D5CDD505-2E9C-101B-9397-08002B2CF9AE}">
    <vt:lpwstr/>
  </property>
  <property name="FSC#CCAPRECONFIG@15.1001:AddrAnrede" pid="114" fmtid="{D5CDD505-2E9C-101B-9397-08002B2CF9AE}">
    <vt:lpwstr/>
  </property>
  <property name="FSC#CCAPRECONFIG@15.1001:AddrTitel" pid="115" fmtid="{D5CDD505-2E9C-101B-9397-08002B2CF9AE}">
    <vt:lpwstr/>
  </property>
  <property name="FSC#CCAPRECONFIG@15.1001:AddrNachgestellter_Titel" pid="116" fmtid="{D5CDD505-2E9C-101B-9397-08002B2CF9AE}">
    <vt:lpwstr/>
  </property>
  <property name="FSC#CCAPRECONFIG@15.1001:AddrVorname" pid="117" fmtid="{D5CDD505-2E9C-101B-9397-08002B2CF9AE}">
    <vt:lpwstr/>
  </property>
  <property name="FSC#CCAPRECONFIG@15.1001:AddrNachname" pid="118" fmtid="{D5CDD505-2E9C-101B-9397-08002B2CF9AE}">
    <vt:lpwstr/>
  </property>
  <property name="FSC#CCAPRECONFIG@15.1001:AddrzH" pid="119" fmtid="{D5CDD505-2E9C-101B-9397-08002B2CF9AE}">
    <vt:lpwstr/>
  </property>
  <property name="FSC#CCAPRECONFIG@15.1001:AddrGeschlecht" pid="120" fmtid="{D5CDD505-2E9C-101B-9397-08002B2CF9AE}">
    <vt:lpwstr/>
  </property>
  <property name="FSC#CCAPRECONFIG@15.1001:AddrStrasse" pid="121" fmtid="{D5CDD505-2E9C-101B-9397-08002B2CF9AE}">
    <vt:lpwstr/>
  </property>
  <property name="FSC#CCAPRECONFIG@15.1001:AddrHausnummer" pid="122" fmtid="{D5CDD505-2E9C-101B-9397-08002B2CF9AE}">
    <vt:lpwstr/>
  </property>
  <property name="FSC#CCAPRECONFIG@15.1001:AddrStiege" pid="123" fmtid="{D5CDD505-2E9C-101B-9397-08002B2CF9AE}">
    <vt:lpwstr/>
  </property>
  <property name="FSC#CCAPRECONFIG@15.1001:AddrTuer" pid="124" fmtid="{D5CDD505-2E9C-101B-9397-08002B2CF9AE}">
    <vt:lpwstr/>
  </property>
  <property name="FSC#CCAPRECONFIG@15.1001:AddrPostfach" pid="125" fmtid="{D5CDD505-2E9C-101B-9397-08002B2CF9AE}">
    <vt:lpwstr/>
  </property>
  <property name="FSC#CCAPRECONFIG@15.1001:AddrPostleitzahl" pid="126" fmtid="{D5CDD505-2E9C-101B-9397-08002B2CF9AE}">
    <vt:lpwstr/>
  </property>
  <property name="FSC#CCAPRECONFIG@15.1001:AddrOrt" pid="127" fmtid="{D5CDD505-2E9C-101B-9397-08002B2CF9AE}">
    <vt:lpwstr/>
  </property>
  <property name="FSC#CCAPRECONFIG@15.1001:AddrLand" pid="128" fmtid="{D5CDD505-2E9C-101B-9397-08002B2CF9AE}">
    <vt:lpwstr/>
  </property>
  <property name="FSC#CCAPRECONFIG@15.1001:AddrEmail" pid="129" fmtid="{D5CDD505-2E9C-101B-9397-08002B2CF9AE}">
    <vt:lpwstr/>
  </property>
  <property name="FSC#CCAPRECONFIG@15.1001:AddrAdresse" pid="130" fmtid="{D5CDD505-2E9C-101B-9397-08002B2CF9AE}">
    <vt:lpwstr/>
  </property>
  <property name="FSC#CCAPRECONFIG@15.1001:AddrFax" pid="131" fmtid="{D5CDD505-2E9C-101B-9397-08002B2CF9AE}">
    <vt:lpwstr/>
  </property>
  <property name="FSC#CCAPRECONFIG@15.1001:AddrOrganisationsname" pid="132" fmtid="{D5CDD505-2E9C-101B-9397-08002B2CF9AE}">
    <vt:lpwstr/>
  </property>
  <property name="FSC#CCAPRECONFIG@15.1001:AddrOrganisationskurzname" pid="133" fmtid="{D5CDD505-2E9C-101B-9397-08002B2CF9AE}">
    <vt:lpwstr/>
  </property>
  <property name="FSC#CCAPRECONFIG@15.1001:AddrAbschriftsbemerkung" pid="134" fmtid="{D5CDD505-2E9C-101B-9397-08002B2CF9AE}">
    <vt:lpwstr/>
  </property>
  <property name="FSC#CCAPRECONFIG@15.1001:AddrName_Zeile_2" pid="135" fmtid="{D5CDD505-2E9C-101B-9397-08002B2CF9AE}">
    <vt:lpwstr/>
  </property>
  <property name="FSC#CCAPRECONFIG@15.1001:AddrName_Zeile_3" pid="136" fmtid="{D5CDD505-2E9C-101B-9397-08002B2CF9AE}">
    <vt:lpwstr/>
  </property>
  <property name="FSC#CCAPRECONFIG@15.1001:AddrPostalischeAdresse" pid="137" fmtid="{D5CDD505-2E9C-101B-9397-08002B2CF9AE}">
    <vt:lpwstr/>
  </property>
  <property name="FSC#ATPRECONFIG@1.1001:ChargePreview" pid="138" fmtid="{D5CDD505-2E9C-101B-9397-08002B2CF9AE}">
    <vt:lpwstr/>
  </property>
  <property name="FSC#ATSTATECFG@1.1001:ExternalFile" pid="139" fmtid="{D5CDD505-2E9C-101B-9397-08002B2CF9AE}">
    <vt:lpwstr/>
  </property>
  <property name="FSC#COOSYSTEM@1.1:Container" pid="140" fmtid="{D5CDD505-2E9C-101B-9397-08002B2CF9AE}">
    <vt:lpwstr>COO.3000.112.15.2635118</vt:lpwstr>
  </property>
  <property name="FSC#FSCFOLIO@1.1001:docpropproject" pid="141" fmtid="{D5CDD505-2E9C-101B-9397-08002B2CF9AE}">
    <vt:lpwstr/>
  </property>
</Properties>
</file>