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73" w:rsidRDefault="00FC4E73" w:rsidP="00FC4E73">
      <w:pPr>
        <w:pBdr>
          <w:top w:val="single" w:sz="4" w:space="0" w:color="002060"/>
          <w:left w:val="single" w:sz="4" w:space="0" w:color="002060"/>
          <w:bottom w:val="single" w:sz="4" w:space="3" w:color="002060"/>
          <w:right w:val="single" w:sz="4" w:space="4" w:color="002060"/>
        </w:pBdr>
        <w:shd w:val="clear" w:color="auto" w:fill="002060"/>
        <w:spacing w:before="200"/>
        <w:jc w:val="right"/>
        <w:rPr>
          <w:rFonts w:ascii="Arial" w:hAnsi="Arial" w:cs="Arial"/>
          <w:b/>
          <w:sz w:val="8"/>
          <w:szCs w:val="8"/>
        </w:rPr>
      </w:pPr>
    </w:p>
    <w:p w:rsidR="00FC4E73" w:rsidRPr="003B52FE" w:rsidRDefault="00FC4E73" w:rsidP="00FC4E73">
      <w:pPr>
        <w:pBdr>
          <w:top w:val="single" w:sz="4" w:space="0" w:color="002060"/>
          <w:left w:val="single" w:sz="4" w:space="0" w:color="002060"/>
          <w:bottom w:val="single" w:sz="4" w:space="3" w:color="002060"/>
          <w:right w:val="single" w:sz="4" w:space="4" w:color="002060"/>
        </w:pBdr>
        <w:shd w:val="clear" w:color="auto" w:fill="002060"/>
        <w:spacing w:before="2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Pr="0001440D">
        <w:rPr>
          <w:rFonts w:ascii="Arial" w:hAnsi="Arial" w:cs="Arial"/>
          <w:b/>
          <w:sz w:val="28"/>
          <w:szCs w:val="28"/>
        </w:rPr>
        <w:t>ransatlantisches</w:t>
      </w:r>
      <w:r>
        <w:rPr>
          <w:rFonts w:ascii="Arial" w:eastAsia="Times New Roman" w:hAnsi="Arial" w:cs="Times New Roman"/>
          <w:bCs/>
          <w:sz w:val="24"/>
          <w:szCs w:val="24"/>
          <w:lang w:eastAsia="de-DE"/>
        </w:rPr>
        <w:t xml:space="preserve"> </w:t>
      </w:r>
      <w:r>
        <w:rPr>
          <w:rFonts w:ascii="Arial" w:hAnsi="Arial" w:cs="Arial"/>
          <w:b/>
          <w:sz w:val="28"/>
          <w:szCs w:val="28"/>
        </w:rPr>
        <w:t>Freihandelsabkommen EU-USA</w:t>
      </w:r>
    </w:p>
    <w:p w:rsidR="00FC4E73" w:rsidRPr="00E60B97" w:rsidRDefault="00FC4E73" w:rsidP="00FC4E73">
      <w:pPr>
        <w:pBdr>
          <w:top w:val="single" w:sz="4" w:space="0" w:color="002060"/>
          <w:left w:val="single" w:sz="4" w:space="0" w:color="002060"/>
          <w:bottom w:val="single" w:sz="4" w:space="3" w:color="002060"/>
          <w:right w:val="single" w:sz="4" w:space="4" w:color="002060"/>
        </w:pBdr>
        <w:shd w:val="clear" w:color="auto" w:fill="002060"/>
        <w:spacing w:before="200"/>
        <w:jc w:val="center"/>
        <w:rPr>
          <w:rFonts w:ascii="Arial" w:hAnsi="Arial" w:cs="Arial"/>
          <w:b/>
          <w:sz w:val="8"/>
          <w:szCs w:val="8"/>
        </w:rPr>
      </w:pPr>
    </w:p>
    <w:p w:rsidR="00FC4E73" w:rsidRDefault="00FC4E73" w:rsidP="00FC4E73">
      <w:pPr>
        <w:spacing w:after="120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6B2C5F">
        <w:rPr>
          <w:rFonts w:ascii="Arial" w:eastAsia="Times New Roman" w:hAnsi="Arial" w:cs="Times New Roman"/>
          <w:bCs/>
          <w:sz w:val="24"/>
          <w:szCs w:val="24"/>
          <w:lang w:eastAsia="de-DE"/>
        </w:rPr>
        <w:t xml:space="preserve">Die USA </w:t>
      </w:r>
      <w:r>
        <w:rPr>
          <w:rFonts w:ascii="Arial" w:eastAsia="Times New Roman" w:hAnsi="Arial" w:cs="Times New Roman"/>
          <w:bCs/>
          <w:sz w:val="24"/>
          <w:szCs w:val="24"/>
          <w:lang w:eastAsia="de-DE"/>
        </w:rPr>
        <w:t xml:space="preserve">und die </w:t>
      </w:r>
      <w:r w:rsidRPr="006B2C5F">
        <w:rPr>
          <w:rFonts w:ascii="Arial" w:eastAsia="Times New Roman" w:hAnsi="Arial" w:cs="Times New Roman"/>
          <w:bCs/>
          <w:sz w:val="24"/>
          <w:szCs w:val="24"/>
          <w:lang w:eastAsia="de-DE"/>
        </w:rPr>
        <w:t>Europäische Union</w:t>
      </w:r>
      <w:r>
        <w:rPr>
          <w:rFonts w:ascii="Arial" w:eastAsia="Times New Roman" w:hAnsi="Arial" w:cs="Times New Roman"/>
          <w:bCs/>
          <w:sz w:val="24"/>
          <w:szCs w:val="24"/>
          <w:lang w:eastAsia="de-DE"/>
        </w:rPr>
        <w:t xml:space="preserve"> (EU) sind</w:t>
      </w:r>
      <w:r w:rsidRPr="006B2C5F">
        <w:rPr>
          <w:rFonts w:ascii="Arial" w:eastAsia="Times New Roman" w:hAnsi="Arial" w:cs="Times New Roman"/>
          <w:b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Times New Roman"/>
          <w:bCs/>
          <w:sz w:val="24"/>
          <w:szCs w:val="24"/>
          <w:lang w:eastAsia="de-DE"/>
        </w:rPr>
        <w:t xml:space="preserve">nicht nur strategische Partner in wichtigen internationalen Fragen, sondern auch die </w:t>
      </w:r>
      <w:r w:rsidRPr="0089729D">
        <w:rPr>
          <w:rFonts w:ascii="Arial" w:eastAsia="Times New Roman" w:hAnsi="Arial" w:cs="Times New Roman"/>
          <w:bCs/>
          <w:sz w:val="24"/>
          <w:szCs w:val="24"/>
          <w:lang w:eastAsia="de-DE"/>
        </w:rPr>
        <w:t>weltweit größten Handelspartner</w:t>
      </w:r>
      <w:r>
        <w:rPr>
          <w:rFonts w:ascii="Arial" w:eastAsia="Times New Roman" w:hAnsi="Arial" w:cs="Times New Roman"/>
          <w:bCs/>
          <w:sz w:val="24"/>
          <w:szCs w:val="24"/>
          <w:lang w:eastAsia="de-DE"/>
        </w:rPr>
        <w:t xml:space="preserve">. Weltweit gesehen, sind diese beiden </w:t>
      </w:r>
      <w:r w:rsidRPr="006B2C5F">
        <w:rPr>
          <w:rFonts w:ascii="Arial" w:eastAsia="Times New Roman" w:hAnsi="Arial" w:cs="Times New Roman"/>
          <w:bCs/>
          <w:sz w:val="24"/>
          <w:szCs w:val="24"/>
          <w:lang w:eastAsia="de-DE"/>
        </w:rPr>
        <w:t xml:space="preserve">Regionen wirtschaftlich am stärksten miteinander verflochten. Für weitere Dynamik soll </w:t>
      </w:r>
      <w:r>
        <w:rPr>
          <w:rFonts w:ascii="Arial" w:eastAsia="Times New Roman" w:hAnsi="Arial" w:cs="Times New Roman"/>
          <w:bCs/>
          <w:sz w:val="24"/>
          <w:szCs w:val="24"/>
          <w:lang w:eastAsia="de-DE"/>
        </w:rPr>
        <w:t xml:space="preserve">nun </w:t>
      </w:r>
      <w:r w:rsidRPr="006B2C5F">
        <w:rPr>
          <w:rFonts w:ascii="Arial" w:eastAsia="Times New Roman" w:hAnsi="Arial" w:cs="Times New Roman"/>
          <w:bCs/>
          <w:sz w:val="24"/>
          <w:szCs w:val="24"/>
          <w:lang w:eastAsia="de-DE"/>
        </w:rPr>
        <w:t xml:space="preserve">ein </w:t>
      </w:r>
      <w:r>
        <w:rPr>
          <w:rFonts w:ascii="Arial" w:eastAsia="Times New Roman" w:hAnsi="Arial" w:cs="Times New Roman"/>
          <w:bCs/>
          <w:sz w:val="24"/>
          <w:szCs w:val="24"/>
          <w:lang w:eastAsia="de-DE"/>
        </w:rPr>
        <w:t xml:space="preserve">umfassendes </w:t>
      </w:r>
      <w:r w:rsidRPr="006B2C5F">
        <w:rPr>
          <w:rFonts w:ascii="Arial" w:eastAsia="Times New Roman" w:hAnsi="Arial" w:cs="Times New Roman"/>
          <w:bCs/>
          <w:sz w:val="24"/>
          <w:szCs w:val="24"/>
          <w:lang w:eastAsia="de-DE"/>
        </w:rPr>
        <w:t>transatlantis</w:t>
      </w:r>
      <w:r>
        <w:rPr>
          <w:rFonts w:ascii="Arial" w:eastAsia="Times New Roman" w:hAnsi="Arial" w:cs="Times New Roman"/>
          <w:bCs/>
          <w:sz w:val="24"/>
          <w:szCs w:val="24"/>
          <w:lang w:eastAsia="de-DE"/>
        </w:rPr>
        <w:t>ches Freihandelsabkommen</w:t>
      </w:r>
      <w:r w:rsidRPr="0019523A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Times New Roman"/>
          <w:bCs/>
          <w:sz w:val="24"/>
          <w:szCs w:val="24"/>
          <w:lang w:eastAsia="de-DE"/>
        </w:rPr>
        <w:t xml:space="preserve">sorgen. Die Verhandlungen darüber haben im Juli begonnen. </w:t>
      </w:r>
      <w:r w:rsidRPr="001F3FEF">
        <w:rPr>
          <w:rFonts w:ascii="Arial" w:eastAsia="Times New Roman" w:hAnsi="Arial" w:cs="Times New Roman"/>
          <w:bCs/>
          <w:sz w:val="24"/>
          <w:szCs w:val="24"/>
          <w:lang w:eastAsia="de-DE"/>
        </w:rPr>
        <w:t>Die transatlantische Handels- und Investitionspartnerschaft</w:t>
      </w:r>
      <w:r>
        <w:rPr>
          <w:lang w:val="de-DE"/>
        </w:rPr>
        <w:t xml:space="preserve"> </w:t>
      </w:r>
      <w:r w:rsidRPr="002A59BD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Pr="00287AB4">
        <w:rPr>
          <w:rFonts w:ascii="Arial" w:eastAsia="Times New Roman" w:hAnsi="Arial" w:cs="Times New Roman"/>
          <w:b/>
          <w:sz w:val="24"/>
          <w:szCs w:val="24"/>
          <w:lang w:eastAsia="de-DE"/>
        </w:rPr>
        <w:t>zwischen der EU und den USA</w:t>
      </w:r>
      <w:r w:rsidRPr="00D241C7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(</w:t>
      </w:r>
      <w:proofErr w:type="spellStart"/>
      <w:r w:rsidRPr="00D241C7">
        <w:rPr>
          <w:rFonts w:ascii="Arial" w:eastAsia="Times New Roman" w:hAnsi="Arial" w:cs="Times New Roman"/>
          <w:i/>
          <w:sz w:val="24"/>
          <w:szCs w:val="24"/>
          <w:lang w:eastAsia="de-DE"/>
        </w:rPr>
        <w:t>Transatlantic</w:t>
      </w:r>
      <w:proofErr w:type="spellEnd"/>
      <w:r w:rsidRPr="00D241C7">
        <w:rPr>
          <w:rFonts w:ascii="Arial" w:eastAsia="Times New Roman" w:hAnsi="Arial" w:cs="Times New Roman"/>
          <w:i/>
          <w:sz w:val="24"/>
          <w:szCs w:val="24"/>
          <w:lang w:eastAsia="de-DE"/>
        </w:rPr>
        <w:t xml:space="preserve"> Trade </w:t>
      </w:r>
      <w:proofErr w:type="spellStart"/>
      <w:r w:rsidRPr="00D241C7">
        <w:rPr>
          <w:rFonts w:ascii="Arial" w:eastAsia="Times New Roman" w:hAnsi="Arial" w:cs="Times New Roman"/>
          <w:i/>
          <w:sz w:val="24"/>
          <w:szCs w:val="24"/>
          <w:lang w:eastAsia="de-DE"/>
        </w:rPr>
        <w:t>and</w:t>
      </w:r>
      <w:proofErr w:type="spellEnd"/>
      <w:r w:rsidRPr="00D241C7">
        <w:rPr>
          <w:rFonts w:ascii="Arial" w:eastAsia="Times New Roman" w:hAnsi="Arial" w:cs="Times New Roman"/>
          <w:i/>
          <w:sz w:val="24"/>
          <w:szCs w:val="24"/>
          <w:lang w:eastAsia="de-DE"/>
        </w:rPr>
        <w:t xml:space="preserve"> Investment </w:t>
      </w:r>
      <w:proofErr w:type="spellStart"/>
      <w:r w:rsidRPr="00D241C7">
        <w:rPr>
          <w:rFonts w:ascii="Arial" w:eastAsia="Times New Roman" w:hAnsi="Arial" w:cs="Times New Roman"/>
          <w:i/>
          <w:sz w:val="24"/>
          <w:szCs w:val="24"/>
          <w:lang w:eastAsia="de-DE"/>
        </w:rPr>
        <w:t>Partnership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, </w:t>
      </w:r>
      <w:r w:rsidRPr="00D241C7">
        <w:rPr>
          <w:rFonts w:ascii="Arial" w:eastAsia="Times New Roman" w:hAnsi="Arial" w:cs="Times New Roman"/>
          <w:sz w:val="24"/>
          <w:szCs w:val="24"/>
          <w:lang w:eastAsia="de-DE"/>
        </w:rPr>
        <w:t xml:space="preserve">TTIP) </w:t>
      </w:r>
      <w:r w:rsidRPr="002A59BD">
        <w:rPr>
          <w:rFonts w:ascii="Arial" w:eastAsia="Times New Roman" w:hAnsi="Arial" w:cs="Times New Roman"/>
          <w:sz w:val="24"/>
          <w:szCs w:val="24"/>
          <w:lang w:eastAsia="de-DE"/>
        </w:rPr>
        <w:t>soll Handel, Investitionen, technische Standards und Normen umfassen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. Das Abkommen führt somit zur Schaffung eines</w:t>
      </w:r>
      <w:r w:rsidRPr="002A59BD">
        <w:rPr>
          <w:rFonts w:ascii="Arial" w:eastAsia="Times New Roman" w:hAnsi="Arial" w:cs="Times New Roman"/>
          <w:sz w:val="24"/>
          <w:szCs w:val="24"/>
          <w:lang w:eastAsia="de-DE"/>
        </w:rPr>
        <w:t xml:space="preserve"> neuen transatlantischen Wirtschaftsraum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s</w:t>
      </w:r>
      <w:r w:rsidRPr="002A59BD">
        <w:rPr>
          <w:rFonts w:ascii="Arial" w:eastAsia="Times New Roman" w:hAnsi="Arial" w:cs="Times New Roman"/>
          <w:sz w:val="24"/>
          <w:szCs w:val="24"/>
          <w:lang w:eastAsia="de-DE"/>
        </w:rPr>
        <w:t xml:space="preserve"> für rund 800 Millionen Menschen auf beiden Seiten des Atlantiks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.</w:t>
      </w:r>
    </w:p>
    <w:p w:rsidR="00FC4E73" w:rsidRPr="008F2D3B" w:rsidRDefault="00FC4E73" w:rsidP="00FC4E73">
      <w:pPr>
        <w:spacing w:after="120"/>
        <w:jc w:val="both"/>
        <w:rPr>
          <w:rFonts w:ascii="Arial" w:hAnsi="Arial" w:cs="Arial"/>
          <w:b/>
          <w:color w:val="548DD4" w:themeColor="text2" w:themeTint="99"/>
          <w:sz w:val="24"/>
          <w:szCs w:val="24"/>
          <w:lang w:val="de-DE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lang w:val="de-DE"/>
        </w:rPr>
        <w:t xml:space="preserve">Welche positiven Auswirkungen erhofft sich die EU von einem </w:t>
      </w:r>
      <w:r w:rsidRPr="008F2D3B">
        <w:rPr>
          <w:rFonts w:ascii="Arial" w:hAnsi="Arial" w:cs="Arial"/>
          <w:b/>
          <w:color w:val="548DD4" w:themeColor="text2" w:themeTint="99"/>
          <w:sz w:val="24"/>
          <w:szCs w:val="24"/>
          <w:lang w:val="de-DE"/>
        </w:rPr>
        <w:t>Freihandels- und Invest</w:t>
      </w:r>
      <w:r>
        <w:rPr>
          <w:rFonts w:ascii="Arial" w:hAnsi="Arial" w:cs="Arial"/>
          <w:b/>
          <w:color w:val="548DD4" w:themeColor="text2" w:themeTint="99"/>
          <w:sz w:val="24"/>
          <w:szCs w:val="24"/>
          <w:lang w:val="de-DE"/>
        </w:rPr>
        <w:t>itionsabkommen mit den USA?</w:t>
      </w:r>
    </w:p>
    <w:p w:rsidR="00FC4E73" w:rsidRDefault="00FC4E73" w:rsidP="00FC4E73">
      <w:pPr>
        <w:spacing w:after="120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89729D">
        <w:rPr>
          <w:rFonts w:ascii="Arial" w:eastAsia="Times New Roman" w:hAnsi="Arial" w:cs="Times New Roman"/>
          <w:bCs/>
          <w:sz w:val="24"/>
          <w:szCs w:val="24"/>
          <w:lang w:eastAsia="de-DE"/>
        </w:rPr>
        <w:t xml:space="preserve">Die EU und die USA sind die </w:t>
      </w:r>
      <w:r w:rsidRPr="00560006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weltweit größten Handelspartner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:</w:t>
      </w:r>
      <w:r>
        <w:rPr>
          <w:rFonts w:ascii="Arial" w:eastAsia="Times New Roman" w:hAnsi="Arial" w:cs="Times New Roman"/>
          <w:bCs/>
          <w:sz w:val="24"/>
          <w:szCs w:val="24"/>
          <w:lang w:eastAsia="de-DE"/>
        </w:rPr>
        <w:t xml:space="preserve"> </w:t>
      </w:r>
      <w:r w:rsidRPr="0020433A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täglich</w:t>
      </w:r>
      <w:r>
        <w:rPr>
          <w:rFonts w:ascii="Arial" w:eastAsia="Times New Roman" w:hAnsi="Arial" w:cs="Times New Roman"/>
          <w:bCs/>
          <w:sz w:val="24"/>
          <w:szCs w:val="24"/>
          <w:lang w:eastAsia="de-DE"/>
        </w:rPr>
        <w:t xml:space="preserve"> werden</w:t>
      </w:r>
      <w:r w:rsidRPr="0089729D">
        <w:rPr>
          <w:rFonts w:ascii="Arial" w:eastAsia="Times New Roman" w:hAnsi="Arial" w:cs="Times New Roman"/>
          <w:bCs/>
          <w:sz w:val="24"/>
          <w:szCs w:val="24"/>
          <w:lang w:eastAsia="de-DE"/>
        </w:rPr>
        <w:t xml:space="preserve"> </w:t>
      </w:r>
      <w:r w:rsidRPr="00560006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Waren und Dienstleistungen</w:t>
      </w:r>
      <w:r w:rsidRPr="0089729D">
        <w:rPr>
          <w:rFonts w:ascii="Arial" w:eastAsia="Times New Roman" w:hAnsi="Arial" w:cs="Times New Roman"/>
          <w:bCs/>
          <w:sz w:val="24"/>
          <w:szCs w:val="24"/>
          <w:lang w:eastAsia="de-DE"/>
        </w:rPr>
        <w:t xml:space="preserve"> im Werte von rd. </w:t>
      </w:r>
      <w:r w:rsidRPr="00560006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2,6 </w:t>
      </w:r>
      <w:proofErr w:type="spellStart"/>
      <w:r w:rsidRPr="00560006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Mrd</w:t>
      </w:r>
      <w:proofErr w:type="spellEnd"/>
      <w:r w:rsidRPr="00560006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 US-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Dollar</w:t>
      </w:r>
      <w:r w:rsidRPr="0089729D">
        <w:rPr>
          <w:rFonts w:ascii="Arial" w:eastAsia="Times New Roman" w:hAnsi="Arial" w:cs="Times New Roman"/>
          <w:bCs/>
          <w:sz w:val="24"/>
          <w:szCs w:val="24"/>
          <w:lang w:eastAsia="de-DE"/>
        </w:rPr>
        <w:t xml:space="preserve"> aus</w:t>
      </w:r>
      <w:r>
        <w:rPr>
          <w:rFonts w:ascii="Arial" w:eastAsia="Times New Roman" w:hAnsi="Arial" w:cs="Times New Roman"/>
          <w:bCs/>
          <w:sz w:val="24"/>
          <w:szCs w:val="24"/>
          <w:lang w:eastAsia="de-DE"/>
        </w:rPr>
        <w:t>getauscht</w:t>
      </w:r>
      <w:r w:rsidRPr="0089729D">
        <w:rPr>
          <w:rFonts w:ascii="Arial" w:eastAsia="Times New Roman" w:hAnsi="Arial" w:cs="Times New Roman"/>
          <w:bCs/>
          <w:sz w:val="24"/>
          <w:szCs w:val="24"/>
          <w:lang w:eastAsia="de-DE"/>
        </w:rPr>
        <w:t xml:space="preserve">.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Auch </w:t>
      </w:r>
      <w:r w:rsidRPr="002A59BD">
        <w:rPr>
          <w:rFonts w:ascii="Arial" w:eastAsia="Times New Roman" w:hAnsi="Arial" w:cs="Times New Roman"/>
          <w:sz w:val="24"/>
          <w:szCs w:val="24"/>
          <w:lang w:eastAsia="de-DE"/>
        </w:rPr>
        <w:t xml:space="preserve">gegenseitige </w:t>
      </w:r>
      <w:r w:rsidRPr="00C12DCF">
        <w:rPr>
          <w:rFonts w:ascii="Arial" w:eastAsia="Times New Roman" w:hAnsi="Arial" w:cs="Times New Roman"/>
          <w:b/>
          <w:sz w:val="24"/>
          <w:szCs w:val="24"/>
          <w:lang w:eastAsia="de-DE"/>
        </w:rPr>
        <w:t>Investitionen</w:t>
      </w:r>
      <w:r w:rsidRPr="002A59BD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tragen </w:t>
      </w:r>
      <w:r w:rsidRPr="002A59BD">
        <w:rPr>
          <w:rFonts w:ascii="Arial" w:eastAsia="Times New Roman" w:hAnsi="Arial" w:cs="Times New Roman"/>
          <w:sz w:val="24"/>
          <w:szCs w:val="24"/>
          <w:lang w:eastAsia="de-DE"/>
        </w:rPr>
        <w:t xml:space="preserve">zur Verflechtung der Volkswirtschaften bei.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So hielten die</w:t>
      </w:r>
      <w:r w:rsidRPr="002A59BD">
        <w:rPr>
          <w:rFonts w:ascii="Arial" w:eastAsia="Times New Roman" w:hAnsi="Arial" w:cs="Times New Roman"/>
          <w:sz w:val="24"/>
          <w:szCs w:val="24"/>
          <w:lang w:eastAsia="de-DE"/>
        </w:rPr>
        <w:t xml:space="preserve"> EU-Mitgliedstaaten Ende 2011 ca. 1.573 Mrd. US-Dollar an Investitionsbeständen in den USA</w:t>
      </w:r>
      <w:r w:rsidRPr="005645CE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(</w:t>
      </w:r>
      <w:r w:rsidRPr="002A0275">
        <w:rPr>
          <w:rFonts w:ascii="Arial" w:eastAsia="Times New Roman" w:hAnsi="Arial" w:cs="Times New Roman"/>
          <w:sz w:val="24"/>
          <w:szCs w:val="24"/>
          <w:lang w:eastAsia="de-DE"/>
        </w:rPr>
        <w:t>die EU ist größter Investor in den USA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)</w:t>
      </w:r>
      <w:r w:rsidRPr="002A59BD">
        <w:rPr>
          <w:rFonts w:ascii="Arial" w:eastAsia="Times New Roman" w:hAnsi="Arial" w:cs="Times New Roman"/>
          <w:sz w:val="24"/>
          <w:szCs w:val="24"/>
          <w:lang w:eastAsia="de-DE"/>
        </w:rPr>
        <w:t xml:space="preserve">, die US-Direktinvestitionen in der EU betrugen 2.094 </w:t>
      </w:r>
      <w:proofErr w:type="spellStart"/>
      <w:r w:rsidRPr="002A59BD">
        <w:rPr>
          <w:rFonts w:ascii="Arial" w:eastAsia="Times New Roman" w:hAnsi="Arial" w:cs="Times New Roman"/>
          <w:sz w:val="24"/>
          <w:szCs w:val="24"/>
          <w:lang w:eastAsia="de-DE"/>
        </w:rPr>
        <w:t>Mrd</w:t>
      </w:r>
      <w:proofErr w:type="spellEnd"/>
      <w:r w:rsidRPr="002A59BD">
        <w:rPr>
          <w:rFonts w:ascii="Arial" w:eastAsia="Times New Roman" w:hAnsi="Arial" w:cs="Times New Roman"/>
          <w:sz w:val="24"/>
          <w:szCs w:val="24"/>
          <w:lang w:eastAsia="de-DE"/>
        </w:rPr>
        <w:t xml:space="preserve"> US-Dollar.</w:t>
      </w:r>
    </w:p>
    <w:p w:rsidR="00FC4E73" w:rsidRPr="0089729D" w:rsidRDefault="00FC4E73" w:rsidP="00FC4E73">
      <w:pPr>
        <w:spacing w:after="120"/>
        <w:jc w:val="both"/>
        <w:rPr>
          <w:rFonts w:ascii="Arial" w:eastAsia="Times New Roman" w:hAnsi="Arial" w:cs="Times New Roman"/>
          <w:bCs/>
          <w:sz w:val="24"/>
          <w:szCs w:val="24"/>
          <w:lang w:eastAsia="de-DE"/>
        </w:rPr>
      </w:pPr>
      <w:r w:rsidRPr="0089729D">
        <w:rPr>
          <w:rFonts w:ascii="Arial" w:eastAsia="Times New Roman" w:hAnsi="Arial" w:cs="Times New Roman"/>
          <w:bCs/>
          <w:sz w:val="24"/>
          <w:szCs w:val="24"/>
          <w:lang w:eastAsia="de-DE"/>
        </w:rPr>
        <w:t xml:space="preserve">Die Europäische Kommission </w:t>
      </w:r>
      <w:r>
        <w:rPr>
          <w:rFonts w:ascii="Arial" w:eastAsia="Times New Roman" w:hAnsi="Arial" w:cs="Times New Roman"/>
          <w:bCs/>
          <w:sz w:val="24"/>
          <w:szCs w:val="24"/>
          <w:lang w:eastAsia="de-DE"/>
        </w:rPr>
        <w:t xml:space="preserve">(EK) </w:t>
      </w:r>
      <w:r w:rsidRPr="0089729D">
        <w:rPr>
          <w:rFonts w:ascii="Arial" w:eastAsia="Times New Roman" w:hAnsi="Arial" w:cs="Times New Roman"/>
          <w:bCs/>
          <w:sz w:val="24"/>
          <w:szCs w:val="24"/>
          <w:lang w:eastAsia="de-DE"/>
        </w:rPr>
        <w:t xml:space="preserve">geht davon aus, dass sich ein umfassendes und ambitioniertes Abkommen zwischen der EU und den USA bis 2027 in einem </w:t>
      </w:r>
      <w:r w:rsidRPr="00BA30F4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jährlichen BIP-Zuwachs von insgesamt 0,5 %</w:t>
      </w:r>
      <w:r w:rsidRPr="0089729D">
        <w:rPr>
          <w:rFonts w:ascii="Arial" w:eastAsia="Times New Roman" w:hAnsi="Arial" w:cs="Times New Roman"/>
          <w:bCs/>
          <w:sz w:val="24"/>
          <w:szCs w:val="24"/>
          <w:lang w:eastAsia="de-DE"/>
        </w:rPr>
        <w:t xml:space="preserve"> </w:t>
      </w:r>
      <w:r w:rsidRPr="00BA30F4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für die EU</w:t>
      </w:r>
      <w:r w:rsidRPr="0089729D">
        <w:rPr>
          <w:rFonts w:ascii="Arial" w:eastAsia="Times New Roman" w:hAnsi="Arial" w:cs="Times New Roman"/>
          <w:bCs/>
          <w:sz w:val="24"/>
          <w:szCs w:val="24"/>
          <w:lang w:eastAsia="de-DE"/>
        </w:rPr>
        <w:t xml:space="preserve"> und 0,4 % für die USA niederschl</w:t>
      </w:r>
      <w:r>
        <w:rPr>
          <w:rFonts w:ascii="Arial" w:eastAsia="Times New Roman" w:hAnsi="Arial" w:cs="Times New Roman"/>
          <w:bCs/>
          <w:sz w:val="24"/>
          <w:szCs w:val="24"/>
          <w:lang w:eastAsia="de-DE"/>
        </w:rPr>
        <w:t>agen würde</w:t>
      </w:r>
      <w:r w:rsidRPr="0089729D">
        <w:rPr>
          <w:rFonts w:ascii="Arial" w:eastAsia="Times New Roman" w:hAnsi="Arial" w:cs="Times New Roman"/>
          <w:bCs/>
          <w:sz w:val="24"/>
          <w:szCs w:val="24"/>
          <w:lang w:eastAsia="de-DE"/>
        </w:rPr>
        <w:t xml:space="preserve">. Dies entspräche </w:t>
      </w:r>
      <w:r w:rsidRPr="00BA30F4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jährlich zusätzlich 86 Mrd. Euro</w:t>
      </w:r>
      <w:r w:rsidRPr="0089729D">
        <w:rPr>
          <w:rFonts w:ascii="Arial" w:eastAsia="Times New Roman" w:hAnsi="Arial" w:cs="Times New Roman"/>
          <w:bCs/>
          <w:sz w:val="24"/>
          <w:szCs w:val="24"/>
          <w:lang w:eastAsia="de-DE"/>
        </w:rPr>
        <w:t xml:space="preserve"> für die EU-Wirtschaft und € 65 Mrd. für die US-Wirtschaft. </w:t>
      </w:r>
    </w:p>
    <w:p w:rsidR="00FC4E73" w:rsidRDefault="00FC4E73" w:rsidP="00FC4E73">
      <w:pPr>
        <w:spacing w:after="120"/>
        <w:jc w:val="both"/>
        <w:rPr>
          <w:rFonts w:ascii="Arial" w:hAnsi="Arial" w:cs="Arial"/>
          <w:b/>
          <w:color w:val="548DD4" w:themeColor="text2" w:themeTint="99"/>
          <w:sz w:val="24"/>
          <w:szCs w:val="24"/>
          <w:lang w:val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Eine Studie des </w:t>
      </w:r>
      <w:r w:rsidRPr="00AC41D9">
        <w:rPr>
          <w:rFonts w:ascii="Arial" w:eastAsia="Times New Roman" w:hAnsi="Arial" w:cs="Times New Roman"/>
          <w:i/>
          <w:sz w:val="24"/>
          <w:szCs w:val="24"/>
          <w:u w:val="single"/>
          <w:lang w:eastAsia="de-DE"/>
        </w:rPr>
        <w:t xml:space="preserve">Center </w:t>
      </w:r>
      <w:proofErr w:type="spellStart"/>
      <w:r w:rsidRPr="00AC41D9">
        <w:rPr>
          <w:rFonts w:ascii="Arial" w:eastAsia="Times New Roman" w:hAnsi="Arial" w:cs="Times New Roman"/>
          <w:i/>
          <w:sz w:val="24"/>
          <w:szCs w:val="24"/>
          <w:u w:val="single"/>
          <w:lang w:eastAsia="de-DE"/>
        </w:rPr>
        <w:t>for</w:t>
      </w:r>
      <w:proofErr w:type="spellEnd"/>
      <w:r w:rsidRPr="00AC41D9">
        <w:rPr>
          <w:rFonts w:ascii="Arial" w:eastAsia="Times New Roman" w:hAnsi="Arial" w:cs="Times New Roman"/>
          <w:i/>
          <w:sz w:val="24"/>
          <w:szCs w:val="24"/>
          <w:u w:val="single"/>
          <w:lang w:eastAsia="de-DE"/>
        </w:rPr>
        <w:t xml:space="preserve"> </w:t>
      </w:r>
      <w:proofErr w:type="spellStart"/>
      <w:r w:rsidRPr="00AC41D9">
        <w:rPr>
          <w:rFonts w:ascii="Arial" w:eastAsia="Times New Roman" w:hAnsi="Arial" w:cs="Times New Roman"/>
          <w:i/>
          <w:sz w:val="24"/>
          <w:szCs w:val="24"/>
          <w:u w:val="single"/>
          <w:lang w:eastAsia="de-DE"/>
        </w:rPr>
        <w:t>Economic</w:t>
      </w:r>
      <w:proofErr w:type="spellEnd"/>
      <w:r w:rsidRPr="00AC41D9">
        <w:rPr>
          <w:rFonts w:ascii="Arial" w:eastAsia="Times New Roman" w:hAnsi="Arial" w:cs="Times New Roman"/>
          <w:i/>
          <w:sz w:val="24"/>
          <w:szCs w:val="24"/>
          <w:u w:val="single"/>
          <w:lang w:eastAsia="de-DE"/>
        </w:rPr>
        <w:t xml:space="preserve"> </w:t>
      </w:r>
      <w:proofErr w:type="spellStart"/>
      <w:r w:rsidRPr="00AC41D9">
        <w:rPr>
          <w:rFonts w:ascii="Arial" w:eastAsia="Times New Roman" w:hAnsi="Arial" w:cs="Times New Roman"/>
          <w:i/>
          <w:sz w:val="24"/>
          <w:szCs w:val="24"/>
          <w:u w:val="single"/>
          <w:lang w:eastAsia="de-DE"/>
        </w:rPr>
        <w:t>Poliy</w:t>
      </w:r>
      <w:proofErr w:type="spellEnd"/>
      <w:r w:rsidRPr="00AC41D9">
        <w:rPr>
          <w:rFonts w:ascii="Arial" w:eastAsia="Times New Roman" w:hAnsi="Arial" w:cs="Times New Roman"/>
          <w:i/>
          <w:sz w:val="24"/>
          <w:szCs w:val="24"/>
          <w:u w:val="single"/>
          <w:lang w:eastAsia="de-DE"/>
        </w:rPr>
        <w:t xml:space="preserve"> Research</w:t>
      </w:r>
      <w:r>
        <w:rPr>
          <w:rStyle w:val="Funotenzeichen"/>
          <w:rFonts w:ascii="Arial" w:eastAsia="Times New Roman" w:hAnsi="Arial" w:cs="Times New Roman"/>
          <w:i/>
          <w:sz w:val="24"/>
          <w:szCs w:val="24"/>
          <w:u w:val="single"/>
          <w:lang w:eastAsia="de-DE"/>
        </w:rPr>
        <w:t xml:space="preserve"> </w:t>
      </w:r>
      <w:r w:rsidRPr="005E02AD">
        <w:rPr>
          <w:rFonts w:ascii="Arial" w:eastAsia="Times New Roman" w:hAnsi="Arial" w:cs="Times New Roman"/>
          <w:sz w:val="24"/>
          <w:szCs w:val="24"/>
          <w:lang w:eastAsia="de-DE"/>
        </w:rPr>
        <w:t>vom März 2013</w:t>
      </w:r>
      <w:r w:rsidRPr="007602FB">
        <w:rPr>
          <w:rFonts w:ascii="Arial" w:eastAsia="Times New Roman" w:hAnsi="Arial" w:cs="Times New Roman"/>
          <w:i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beziffert den </w:t>
      </w:r>
      <w:r w:rsidRPr="000B7445">
        <w:rPr>
          <w:rFonts w:ascii="Arial" w:eastAsia="Times New Roman" w:hAnsi="Arial" w:cs="Times New Roman"/>
          <w:sz w:val="24"/>
          <w:szCs w:val="24"/>
          <w:lang w:eastAsia="de-DE"/>
        </w:rPr>
        <w:t xml:space="preserve">wirtschaftlichen Nutzen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fü</w:t>
      </w:r>
      <w:r w:rsidRPr="000B7445">
        <w:rPr>
          <w:rFonts w:ascii="Arial" w:eastAsia="Times New Roman" w:hAnsi="Arial" w:cs="Times New Roman"/>
          <w:sz w:val="24"/>
          <w:szCs w:val="24"/>
          <w:lang w:eastAsia="de-DE"/>
        </w:rPr>
        <w:t>r die EU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sogar mit </w:t>
      </w:r>
      <w:r w:rsidRPr="005E02AD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119 Mrd. </w:t>
      </w:r>
      <w:r w:rsidRPr="00BA30F4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Euro</w:t>
      </w:r>
      <w:r w:rsidRPr="0089729D">
        <w:rPr>
          <w:rFonts w:ascii="Arial" w:eastAsia="Times New Roman" w:hAnsi="Arial" w:cs="Times New Roman"/>
          <w:bCs/>
          <w:sz w:val="24"/>
          <w:szCs w:val="24"/>
          <w:lang w:eastAsia="de-DE"/>
        </w:rPr>
        <w:t xml:space="preserve"> </w:t>
      </w:r>
      <w:r w:rsidRPr="005E02AD">
        <w:rPr>
          <w:rFonts w:ascii="Arial" w:eastAsia="Times New Roman" w:hAnsi="Arial" w:cs="Times New Roman"/>
          <w:b/>
          <w:sz w:val="24"/>
          <w:szCs w:val="24"/>
          <w:lang w:eastAsia="de-DE"/>
        </w:rPr>
        <w:t>pro Jahr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und </w:t>
      </w:r>
      <w:r w:rsidRPr="000B7445">
        <w:rPr>
          <w:rFonts w:ascii="Arial" w:eastAsia="Times New Roman" w:hAnsi="Arial" w:cs="Times New Roman"/>
          <w:sz w:val="24"/>
          <w:szCs w:val="24"/>
          <w:lang w:eastAsia="de-DE"/>
        </w:rPr>
        <w:t>für die USA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mit</w:t>
      </w:r>
      <w:r w:rsidRPr="000B7445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95 Mrd. Euro pro Jahr. Anders formuliert bedeutet das ein zu</w:t>
      </w:r>
      <w:r w:rsidRPr="000B7445">
        <w:rPr>
          <w:rFonts w:ascii="Arial" w:eastAsia="Times New Roman" w:hAnsi="Arial" w:cs="Times New Roman"/>
          <w:sz w:val="24"/>
          <w:szCs w:val="24"/>
          <w:lang w:eastAsia="de-DE"/>
        </w:rPr>
        <w:t>sätzlich verfügbares Einkommen von 545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Pr="00560006">
        <w:rPr>
          <w:rFonts w:ascii="Arial" w:eastAsia="Times New Roman" w:hAnsi="Arial" w:cs="Times New Roman"/>
          <w:bCs/>
          <w:sz w:val="24"/>
          <w:szCs w:val="24"/>
          <w:lang w:eastAsia="de-DE"/>
        </w:rPr>
        <w:t>Euro</w:t>
      </w:r>
      <w:r w:rsidRPr="000B7445">
        <w:rPr>
          <w:rFonts w:ascii="Arial" w:eastAsia="Times New Roman" w:hAnsi="Arial" w:cs="Times New Roman"/>
          <w:sz w:val="24"/>
          <w:szCs w:val="24"/>
          <w:lang w:eastAsia="de-DE"/>
        </w:rPr>
        <w:t xml:space="preserve"> jährlich für eine vierköpfige Familie in der EU, und 6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55 </w:t>
      </w:r>
      <w:r w:rsidRPr="00560006">
        <w:rPr>
          <w:rFonts w:ascii="Arial" w:eastAsia="Times New Roman" w:hAnsi="Arial" w:cs="Times New Roman"/>
          <w:bCs/>
          <w:sz w:val="24"/>
          <w:szCs w:val="24"/>
          <w:lang w:eastAsia="de-DE"/>
        </w:rPr>
        <w:t>Euro</w:t>
      </w:r>
      <w:r w:rsidRPr="0089729D">
        <w:rPr>
          <w:rFonts w:ascii="Arial" w:eastAsia="Times New Roman" w:hAnsi="Arial" w:cs="Times New Roman"/>
          <w:b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für eine Familie in den USA. Die</w:t>
      </w:r>
      <w:r w:rsidRPr="000B7445">
        <w:rPr>
          <w:rFonts w:ascii="Arial" w:eastAsia="Times New Roman" w:hAnsi="Arial" w:cs="Times New Roman"/>
          <w:sz w:val="24"/>
          <w:szCs w:val="24"/>
          <w:lang w:eastAsia="de-DE"/>
        </w:rPr>
        <w:t xml:space="preserve"> Einkommenserhöhungen resultieren aus verstärktem Handel. Die Exporte der EU in die USA würden um 28 %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steigen</w:t>
      </w:r>
      <w:r w:rsidRPr="000B7445">
        <w:rPr>
          <w:rFonts w:ascii="Arial" w:eastAsia="Times New Roman" w:hAnsi="Arial" w:cs="Times New Roman"/>
          <w:sz w:val="24"/>
          <w:szCs w:val="24"/>
          <w:lang w:eastAsia="de-DE"/>
        </w:rPr>
        <w:t>.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Pr="000B7445">
        <w:rPr>
          <w:rFonts w:ascii="Arial" w:eastAsia="Times New Roman" w:hAnsi="Arial" w:cs="Times New Roman"/>
          <w:sz w:val="24"/>
          <w:szCs w:val="24"/>
          <w:lang w:eastAsia="de-DE"/>
        </w:rPr>
        <w:t>80 % der gesamten möglichen Gewinne kommt von einer Reduktion von Kosten durch Bürokratie und Regulierung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infolge der</w:t>
      </w:r>
      <w:r w:rsidRPr="000B7445">
        <w:rPr>
          <w:rFonts w:ascii="Arial" w:eastAsia="Times New Roman" w:hAnsi="Arial" w:cs="Times New Roman"/>
          <w:sz w:val="24"/>
          <w:szCs w:val="24"/>
          <w:lang w:eastAsia="de-DE"/>
        </w:rPr>
        <w:t xml:space="preserve"> Reduktion von nicht-tarifären Handelsbarrieren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.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de-DE"/>
        </w:rPr>
        <w:t>Weiters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kann von positiven Auswirkungen auf den Arbeitsmarkt und auf den allgemeinen Wohlstand u.a. auch durch Preissenkungen </w:t>
      </w:r>
      <w:r>
        <w:rPr>
          <w:rFonts w:ascii="Arial" w:eastAsia="Times New Roman" w:hAnsi="Arial" w:cs="Times New Roman"/>
          <w:bCs/>
          <w:sz w:val="24"/>
          <w:szCs w:val="24"/>
          <w:lang w:eastAsia="de-DE"/>
        </w:rPr>
        <w:t xml:space="preserve">ausgegangen werden, so auch das Ergebnis einer Studie des </w:t>
      </w:r>
      <w:r w:rsidRPr="000B7445">
        <w:rPr>
          <w:rFonts w:ascii="Arial" w:eastAsia="Times New Roman" w:hAnsi="Arial" w:cs="Times New Roman"/>
          <w:sz w:val="24"/>
          <w:szCs w:val="24"/>
          <w:u w:val="single"/>
          <w:lang w:eastAsia="de-DE"/>
        </w:rPr>
        <w:t>ifo Instituts (Leibnitz-Institut für Wirtschaftsforschung</w:t>
      </w:r>
      <w:r>
        <w:rPr>
          <w:rFonts w:ascii="Arial" w:eastAsia="Times New Roman" w:hAnsi="Arial" w:cs="Times New Roman"/>
          <w:sz w:val="24"/>
          <w:szCs w:val="24"/>
          <w:u w:val="single"/>
          <w:lang w:eastAsia="de-DE"/>
        </w:rPr>
        <w:t>).</w:t>
      </w:r>
    </w:p>
    <w:p w:rsidR="00FC4E73" w:rsidRDefault="008E2A16" w:rsidP="00FC4E73">
      <w:pPr>
        <w:spacing w:after="120"/>
        <w:jc w:val="both"/>
        <w:rPr>
          <w:rFonts w:ascii="Arial" w:hAnsi="Arial" w:cs="Arial"/>
          <w:b/>
          <w:color w:val="548DD4" w:themeColor="text2" w:themeTint="99"/>
          <w:sz w:val="24"/>
          <w:szCs w:val="24"/>
          <w:lang w:val="de-DE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lang w:val="de-DE"/>
        </w:rPr>
        <w:br/>
      </w:r>
      <w:r w:rsidR="00FC4E73">
        <w:rPr>
          <w:rFonts w:ascii="Arial" w:hAnsi="Arial" w:cs="Arial"/>
          <w:b/>
          <w:color w:val="548DD4" w:themeColor="text2" w:themeTint="99"/>
          <w:sz w:val="24"/>
          <w:szCs w:val="24"/>
          <w:lang w:val="de-DE"/>
        </w:rPr>
        <w:t>Wie profitiert Österreichs Wirtschaft von einem solchen</w:t>
      </w:r>
      <w:r w:rsidR="00FC4E73" w:rsidRPr="008F2D3B">
        <w:rPr>
          <w:rFonts w:ascii="Arial" w:hAnsi="Arial" w:cs="Arial"/>
          <w:b/>
          <w:color w:val="548DD4" w:themeColor="text2" w:themeTint="99"/>
          <w:sz w:val="24"/>
          <w:szCs w:val="24"/>
          <w:lang w:val="de-DE"/>
        </w:rPr>
        <w:t xml:space="preserve"> Freihandels- und Investition</w:t>
      </w:r>
      <w:r w:rsidR="00FC4E73">
        <w:rPr>
          <w:rFonts w:ascii="Arial" w:hAnsi="Arial" w:cs="Arial"/>
          <w:b/>
          <w:color w:val="548DD4" w:themeColor="text2" w:themeTint="99"/>
          <w:sz w:val="24"/>
          <w:szCs w:val="24"/>
          <w:lang w:val="de-DE"/>
        </w:rPr>
        <w:t>sabkommen mit den USA?</w:t>
      </w:r>
    </w:p>
    <w:p w:rsidR="00FC4E73" w:rsidRDefault="00FC4E73" w:rsidP="00FC4E73">
      <w:pPr>
        <w:pStyle w:val="FreieForm"/>
        <w:spacing w:after="120"/>
        <w:jc w:val="both"/>
        <w:rPr>
          <w:rFonts w:ascii="Arial" w:eastAsia="Times New Roman" w:hAnsi="Arial"/>
          <w:color w:val="auto"/>
          <w:szCs w:val="24"/>
          <w:lang w:val="de-AT" w:eastAsia="de-DE"/>
        </w:rPr>
      </w:pPr>
      <w:r w:rsidRPr="002A0275">
        <w:rPr>
          <w:rFonts w:ascii="Arial" w:eastAsia="Times New Roman" w:hAnsi="Arial"/>
          <w:color w:val="auto"/>
          <w:szCs w:val="24"/>
          <w:lang w:val="de-AT" w:eastAsia="de-DE"/>
        </w:rPr>
        <w:t>Für Österreich stellen die USA den drittwichtigsten Exportmarkt dar. Der Gesamtwert der österreichischen Exporte in die USA hat sich seit dem Jahr 2000 fast verdoppelt,</w:t>
      </w:r>
      <w:r w:rsidRPr="002C01E8">
        <w:rPr>
          <w:rFonts w:ascii="Arial" w:eastAsia="Times New Roman" w:hAnsi="Arial"/>
          <w:color w:val="auto"/>
          <w:szCs w:val="24"/>
          <w:highlight w:val="yellow"/>
          <w:lang w:val="de-AT" w:eastAsia="de-DE"/>
        </w:rPr>
        <w:t xml:space="preserve"> </w:t>
      </w:r>
      <w:r w:rsidRPr="002A0275">
        <w:rPr>
          <w:rFonts w:ascii="Arial" w:eastAsia="Times New Roman" w:hAnsi="Arial"/>
          <w:color w:val="auto"/>
          <w:szCs w:val="24"/>
          <w:lang w:val="de-AT" w:eastAsia="de-DE"/>
        </w:rPr>
        <w:t>und auch die Direktinvestitionsbestände Österreichs in den USA haben sich seit dem Jahr 2000 mehr als verdoppelt.</w:t>
      </w:r>
      <w:r w:rsidRPr="005645CE">
        <w:rPr>
          <w:rFonts w:ascii="Arial" w:eastAsia="Times New Roman" w:hAnsi="Arial"/>
          <w:color w:val="auto"/>
          <w:szCs w:val="24"/>
          <w:lang w:val="de-AT" w:eastAsia="de-DE"/>
        </w:rPr>
        <w:t xml:space="preserve"> </w:t>
      </w:r>
    </w:p>
    <w:p w:rsidR="00FC4E73" w:rsidRDefault="00FC4E73" w:rsidP="00FC4E73">
      <w:pPr>
        <w:pStyle w:val="FreieForm"/>
        <w:spacing w:after="120"/>
        <w:jc w:val="both"/>
        <w:rPr>
          <w:rFonts w:ascii="Arial" w:eastAsia="Times New Roman" w:hAnsi="Arial"/>
          <w:color w:val="auto"/>
          <w:szCs w:val="24"/>
          <w:lang w:val="de-AT" w:eastAsia="de-DE"/>
        </w:rPr>
      </w:pPr>
      <w:r w:rsidRPr="000B7445">
        <w:rPr>
          <w:rFonts w:ascii="Arial" w:eastAsia="Times New Roman" w:hAnsi="Arial"/>
          <w:color w:val="auto"/>
          <w:szCs w:val="24"/>
          <w:lang w:val="de-AT" w:eastAsia="de-DE"/>
        </w:rPr>
        <w:lastRenderedPageBreak/>
        <w:t xml:space="preserve">Ein Abkommen zwischen der EU und den USA hätte aufgrund der vergleichsweise großen Bedeutung der </w:t>
      </w:r>
      <w:r>
        <w:rPr>
          <w:rFonts w:ascii="Arial" w:eastAsia="Times New Roman" w:hAnsi="Arial"/>
          <w:color w:val="auto"/>
          <w:szCs w:val="24"/>
          <w:lang w:val="de-AT" w:eastAsia="de-DE"/>
        </w:rPr>
        <w:t>US-</w:t>
      </w:r>
      <w:r w:rsidRPr="000B7445">
        <w:rPr>
          <w:rFonts w:ascii="Arial" w:eastAsia="Times New Roman" w:hAnsi="Arial"/>
          <w:color w:val="auto"/>
          <w:szCs w:val="24"/>
          <w:lang w:val="de-AT" w:eastAsia="de-DE"/>
        </w:rPr>
        <w:t xml:space="preserve">amerikanischen Wirtschaft </w:t>
      </w:r>
      <w:r>
        <w:rPr>
          <w:rFonts w:ascii="Arial" w:eastAsia="Times New Roman" w:hAnsi="Arial"/>
          <w:color w:val="auto"/>
          <w:szCs w:val="24"/>
          <w:lang w:val="de-AT" w:eastAsia="de-DE"/>
        </w:rPr>
        <w:t>beachtliche</w:t>
      </w:r>
      <w:r w:rsidRPr="000B7445">
        <w:rPr>
          <w:rFonts w:ascii="Arial" w:eastAsia="Times New Roman" w:hAnsi="Arial"/>
          <w:color w:val="auto"/>
          <w:szCs w:val="24"/>
          <w:lang w:val="de-AT" w:eastAsia="de-DE"/>
        </w:rPr>
        <w:t xml:space="preserve"> Auswirkungen auf Österreich. Die Senkung nicht-tarifärer Handelsbarrieren führt zu mehr Arbeitsproduktivität, höheren Löhnen und einem Anstieg der Beschäftigung um 0,6 % in Österreich. Das </w:t>
      </w:r>
      <w:proofErr w:type="gramStart"/>
      <w:r w:rsidRPr="000B7445">
        <w:rPr>
          <w:rFonts w:ascii="Arial" w:eastAsia="Times New Roman" w:hAnsi="Arial"/>
          <w:color w:val="auto"/>
          <w:szCs w:val="24"/>
          <w:lang w:val="de-AT" w:eastAsia="de-DE"/>
        </w:rPr>
        <w:t>wären</w:t>
      </w:r>
      <w:proofErr w:type="gramEnd"/>
      <w:r w:rsidRPr="000B7445">
        <w:rPr>
          <w:rFonts w:ascii="Arial" w:eastAsia="Times New Roman" w:hAnsi="Arial"/>
          <w:color w:val="auto"/>
          <w:szCs w:val="24"/>
          <w:lang w:val="de-AT" w:eastAsia="de-DE"/>
        </w:rPr>
        <w:t xml:space="preserve"> absolut betrachtet plus 20.800 unselbständig Beschäftigte</w:t>
      </w:r>
      <w:r>
        <w:rPr>
          <w:rFonts w:ascii="Arial" w:eastAsia="Times New Roman" w:hAnsi="Arial"/>
          <w:color w:val="auto"/>
          <w:szCs w:val="24"/>
          <w:lang w:val="de-AT" w:eastAsia="de-DE"/>
        </w:rPr>
        <w:t>, so eine</w:t>
      </w:r>
      <w:r w:rsidRPr="000B7445">
        <w:rPr>
          <w:rFonts w:ascii="Arial" w:eastAsia="Times New Roman" w:hAnsi="Arial"/>
          <w:color w:val="auto"/>
          <w:szCs w:val="24"/>
          <w:lang w:val="de-AT" w:eastAsia="de-DE"/>
        </w:rPr>
        <w:t xml:space="preserve"> </w:t>
      </w:r>
      <w:r w:rsidRPr="000B7445">
        <w:rPr>
          <w:rFonts w:ascii="Arial" w:eastAsia="Times New Roman" w:hAnsi="Arial"/>
          <w:color w:val="auto"/>
          <w:szCs w:val="24"/>
          <w:u w:val="single"/>
          <w:lang w:val="de-AT" w:eastAsia="de-DE"/>
        </w:rPr>
        <w:t xml:space="preserve">Studie des FIW (Forschungsschwerpunkt Internationale Wirtschaft) </w:t>
      </w:r>
      <w:r w:rsidRPr="007602FB">
        <w:rPr>
          <w:rFonts w:ascii="Arial" w:eastAsia="Times New Roman" w:hAnsi="Arial"/>
          <w:color w:val="auto"/>
          <w:szCs w:val="24"/>
          <w:lang w:val="de-AT" w:eastAsia="de-DE"/>
        </w:rPr>
        <w:t xml:space="preserve">im Auftrag des Bundesministeriums für Wirtschaft, Familie und Jugend </w:t>
      </w:r>
      <w:r>
        <w:rPr>
          <w:rFonts w:ascii="Arial" w:eastAsia="Times New Roman" w:hAnsi="Arial"/>
          <w:color w:val="auto"/>
          <w:szCs w:val="24"/>
          <w:lang w:val="de-AT" w:eastAsia="de-DE"/>
        </w:rPr>
        <w:t xml:space="preserve">vom </w:t>
      </w:r>
      <w:r w:rsidRPr="000B7445">
        <w:rPr>
          <w:rFonts w:ascii="Arial" w:eastAsia="Times New Roman" w:hAnsi="Arial"/>
          <w:color w:val="auto"/>
          <w:szCs w:val="24"/>
          <w:lang w:val="de-AT" w:eastAsia="de-DE"/>
        </w:rPr>
        <w:t>Jänner 2013</w:t>
      </w:r>
      <w:r>
        <w:rPr>
          <w:rFonts w:ascii="Arial" w:eastAsia="Times New Roman" w:hAnsi="Arial"/>
          <w:color w:val="auto"/>
          <w:szCs w:val="24"/>
          <w:lang w:val="de-AT" w:eastAsia="de-DE"/>
        </w:rPr>
        <w:t>. Die Studie geht davon aus, dass ein b</w:t>
      </w:r>
      <w:r w:rsidRPr="000B7445">
        <w:rPr>
          <w:rFonts w:ascii="Arial" w:eastAsia="Times New Roman" w:hAnsi="Arial"/>
          <w:color w:val="auto"/>
          <w:szCs w:val="24"/>
          <w:lang w:val="de-AT" w:eastAsia="de-DE"/>
        </w:rPr>
        <w:t>ilaterale</w:t>
      </w:r>
      <w:r>
        <w:rPr>
          <w:rFonts w:ascii="Arial" w:eastAsia="Times New Roman" w:hAnsi="Arial"/>
          <w:color w:val="auto"/>
          <w:szCs w:val="24"/>
          <w:lang w:val="de-AT" w:eastAsia="de-DE"/>
        </w:rPr>
        <w:t>s</w:t>
      </w:r>
      <w:r w:rsidRPr="000B7445">
        <w:rPr>
          <w:rFonts w:ascii="Arial" w:eastAsia="Times New Roman" w:hAnsi="Arial"/>
          <w:color w:val="auto"/>
          <w:szCs w:val="24"/>
          <w:lang w:val="de-AT" w:eastAsia="de-DE"/>
        </w:rPr>
        <w:t xml:space="preserve"> Freihandelsabkommen zwischen der EU und den USA einen Anstieg des österreichischen BIP von </w:t>
      </w:r>
      <w:r>
        <w:rPr>
          <w:rFonts w:ascii="Arial" w:eastAsia="Times New Roman" w:hAnsi="Arial"/>
          <w:color w:val="auto"/>
          <w:szCs w:val="24"/>
          <w:lang w:val="de-AT" w:eastAsia="de-DE"/>
        </w:rPr>
        <w:t>1,75</w:t>
      </w:r>
      <w:r w:rsidRPr="000B7445">
        <w:rPr>
          <w:rFonts w:ascii="Arial" w:eastAsia="Times New Roman" w:hAnsi="Arial"/>
          <w:color w:val="auto"/>
          <w:szCs w:val="24"/>
          <w:lang w:val="de-AT" w:eastAsia="de-DE"/>
        </w:rPr>
        <w:t xml:space="preserve"> % bewirken</w:t>
      </w:r>
      <w:r w:rsidRPr="00F02BC9">
        <w:rPr>
          <w:rFonts w:ascii="Arial" w:eastAsia="Times New Roman" w:hAnsi="Arial"/>
          <w:color w:val="auto"/>
          <w:szCs w:val="24"/>
          <w:lang w:val="de-AT" w:eastAsia="de-DE"/>
        </w:rPr>
        <w:t xml:space="preserve"> </w:t>
      </w:r>
      <w:r w:rsidRPr="000B7445">
        <w:rPr>
          <w:rFonts w:ascii="Arial" w:eastAsia="Times New Roman" w:hAnsi="Arial"/>
          <w:color w:val="auto"/>
          <w:szCs w:val="24"/>
          <w:lang w:val="de-AT" w:eastAsia="de-DE"/>
        </w:rPr>
        <w:t>könnte</w:t>
      </w:r>
      <w:r>
        <w:rPr>
          <w:rFonts w:ascii="Arial" w:eastAsia="Times New Roman" w:hAnsi="Arial"/>
          <w:color w:val="auto"/>
          <w:szCs w:val="24"/>
          <w:lang w:val="de-AT" w:eastAsia="de-DE"/>
        </w:rPr>
        <w:t xml:space="preserve">. Der größte Teil davon </w:t>
      </w:r>
      <w:r w:rsidRPr="000B7445">
        <w:rPr>
          <w:rFonts w:ascii="Arial" w:eastAsia="Times New Roman" w:hAnsi="Arial"/>
          <w:color w:val="auto"/>
          <w:szCs w:val="24"/>
          <w:lang w:val="de-AT" w:eastAsia="de-DE"/>
        </w:rPr>
        <w:t xml:space="preserve">ergibt sich aus einer Steigerung der Investitionen, die ihrerseits auf einen Produktivitätsanstieg zurückzuführen sind. Der Grund für den starken Anstieg der Arbeitsproduktivität liegt in der </w:t>
      </w:r>
      <w:r>
        <w:rPr>
          <w:rFonts w:ascii="Arial" w:eastAsia="Times New Roman" w:hAnsi="Arial"/>
          <w:color w:val="auto"/>
          <w:szCs w:val="24"/>
          <w:lang w:val="de-AT" w:eastAsia="de-DE"/>
        </w:rPr>
        <w:t>Beseitigung</w:t>
      </w:r>
      <w:r w:rsidRPr="000B7445">
        <w:rPr>
          <w:rFonts w:ascii="Arial" w:eastAsia="Times New Roman" w:hAnsi="Arial"/>
          <w:color w:val="auto"/>
          <w:szCs w:val="24"/>
          <w:lang w:val="de-AT" w:eastAsia="de-DE"/>
        </w:rPr>
        <w:t xml:space="preserve"> der nicht-tarifären Handelsbarrieren</w:t>
      </w:r>
      <w:r>
        <w:rPr>
          <w:rFonts w:ascii="Arial" w:eastAsia="Times New Roman" w:hAnsi="Arial"/>
          <w:color w:val="auto"/>
          <w:szCs w:val="24"/>
          <w:lang w:val="de-AT" w:eastAsia="de-DE"/>
        </w:rPr>
        <w:t xml:space="preserve">: </w:t>
      </w:r>
      <w:r w:rsidRPr="000B7445">
        <w:rPr>
          <w:rFonts w:ascii="Arial" w:eastAsia="Times New Roman" w:hAnsi="Arial"/>
          <w:color w:val="auto"/>
          <w:szCs w:val="24"/>
          <w:lang w:val="de-AT" w:eastAsia="de-DE"/>
        </w:rPr>
        <w:t>Firmen</w:t>
      </w:r>
      <w:r>
        <w:rPr>
          <w:rFonts w:ascii="Arial" w:eastAsia="Times New Roman" w:hAnsi="Arial"/>
          <w:color w:val="auto"/>
          <w:szCs w:val="24"/>
          <w:lang w:val="de-AT" w:eastAsia="de-DE"/>
        </w:rPr>
        <w:t xml:space="preserve"> müssten sich nicht mehr wie</w:t>
      </w:r>
      <w:r w:rsidRPr="000B7445">
        <w:rPr>
          <w:rFonts w:ascii="Arial" w:eastAsia="Times New Roman" w:hAnsi="Arial"/>
          <w:color w:val="auto"/>
          <w:szCs w:val="24"/>
          <w:lang w:val="de-AT" w:eastAsia="de-DE"/>
        </w:rPr>
        <w:t xml:space="preserve"> </w:t>
      </w:r>
      <w:r>
        <w:rPr>
          <w:rFonts w:ascii="Arial" w:eastAsia="Times New Roman" w:hAnsi="Arial"/>
          <w:color w:val="auto"/>
          <w:szCs w:val="24"/>
          <w:lang w:val="de-AT" w:eastAsia="de-DE"/>
        </w:rPr>
        <w:t>bisher</w:t>
      </w:r>
      <w:r w:rsidRPr="000B7445">
        <w:rPr>
          <w:rFonts w:ascii="Arial" w:eastAsia="Times New Roman" w:hAnsi="Arial"/>
          <w:color w:val="auto"/>
          <w:szCs w:val="24"/>
          <w:lang w:val="de-AT" w:eastAsia="de-DE"/>
        </w:rPr>
        <w:t xml:space="preserve"> auf höhere regulatorische Anforderungen einstellen</w:t>
      </w:r>
      <w:r>
        <w:rPr>
          <w:rFonts w:ascii="Arial" w:eastAsia="Times New Roman" w:hAnsi="Arial"/>
          <w:color w:val="auto"/>
          <w:szCs w:val="24"/>
          <w:lang w:val="de-AT" w:eastAsia="de-DE"/>
        </w:rPr>
        <w:t xml:space="preserve">, </w:t>
      </w:r>
      <w:r w:rsidRPr="000B7445">
        <w:rPr>
          <w:rFonts w:ascii="Arial" w:eastAsia="Times New Roman" w:hAnsi="Arial"/>
          <w:color w:val="auto"/>
          <w:szCs w:val="24"/>
          <w:lang w:val="de-AT" w:eastAsia="de-DE"/>
        </w:rPr>
        <w:t xml:space="preserve">was </w:t>
      </w:r>
      <w:r>
        <w:rPr>
          <w:rFonts w:ascii="Arial" w:eastAsia="Times New Roman" w:hAnsi="Arial"/>
          <w:color w:val="auto"/>
          <w:szCs w:val="24"/>
          <w:lang w:val="de-AT" w:eastAsia="de-DE"/>
        </w:rPr>
        <w:t>zu einer Senkung der Produktions</w:t>
      </w:r>
      <w:r w:rsidRPr="000B7445">
        <w:rPr>
          <w:rFonts w:ascii="Arial" w:eastAsia="Times New Roman" w:hAnsi="Arial"/>
          <w:color w:val="auto"/>
          <w:szCs w:val="24"/>
          <w:lang w:val="de-AT" w:eastAsia="de-DE"/>
        </w:rPr>
        <w:t xml:space="preserve">kosten und somit </w:t>
      </w:r>
      <w:r>
        <w:rPr>
          <w:rFonts w:ascii="Arial" w:eastAsia="Times New Roman" w:hAnsi="Arial"/>
          <w:color w:val="auto"/>
          <w:szCs w:val="24"/>
          <w:lang w:val="de-AT" w:eastAsia="de-DE"/>
        </w:rPr>
        <w:t>auch der</w:t>
      </w:r>
      <w:r w:rsidRPr="000B7445">
        <w:rPr>
          <w:rFonts w:ascii="Arial" w:eastAsia="Times New Roman" w:hAnsi="Arial"/>
          <w:color w:val="auto"/>
          <w:szCs w:val="24"/>
          <w:lang w:val="de-AT" w:eastAsia="de-DE"/>
        </w:rPr>
        <w:t xml:space="preserve"> Preisen führ</w:t>
      </w:r>
      <w:r>
        <w:rPr>
          <w:rFonts w:ascii="Arial" w:eastAsia="Times New Roman" w:hAnsi="Arial"/>
          <w:color w:val="auto"/>
          <w:szCs w:val="24"/>
          <w:lang w:val="de-AT" w:eastAsia="de-DE"/>
        </w:rPr>
        <w:t>en würde.</w:t>
      </w:r>
    </w:p>
    <w:p w:rsidR="00FC4E73" w:rsidRDefault="008E2A16" w:rsidP="00FC4E73">
      <w:pPr>
        <w:spacing w:after="120"/>
        <w:jc w:val="both"/>
        <w:rPr>
          <w:rFonts w:ascii="Arial" w:hAnsi="Arial" w:cs="Arial"/>
          <w:b/>
          <w:color w:val="548DD4" w:themeColor="text2" w:themeTint="99"/>
          <w:sz w:val="24"/>
          <w:szCs w:val="24"/>
          <w:lang w:val="de-DE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lang w:val="de-DE"/>
        </w:rPr>
        <w:br/>
      </w:r>
      <w:r w:rsidR="00FC4E73" w:rsidRPr="008F2D3B">
        <w:rPr>
          <w:rFonts w:ascii="Arial" w:hAnsi="Arial" w:cs="Arial"/>
          <w:b/>
          <w:color w:val="548DD4" w:themeColor="text2" w:themeTint="99"/>
          <w:sz w:val="24"/>
          <w:szCs w:val="24"/>
          <w:lang w:val="de-DE"/>
        </w:rPr>
        <w:t xml:space="preserve">Wie </w:t>
      </w:r>
      <w:r w:rsidR="00FC4E73">
        <w:rPr>
          <w:rFonts w:ascii="Arial" w:hAnsi="Arial" w:cs="Arial"/>
          <w:b/>
          <w:color w:val="548DD4" w:themeColor="text2" w:themeTint="99"/>
          <w:sz w:val="24"/>
          <w:szCs w:val="24"/>
          <w:lang w:val="de-DE"/>
        </w:rPr>
        <w:t>wird</w:t>
      </w:r>
      <w:r w:rsidR="00FC4E73" w:rsidRPr="008F2D3B">
        <w:rPr>
          <w:rFonts w:ascii="Arial" w:hAnsi="Arial" w:cs="Arial"/>
          <w:b/>
          <w:color w:val="548DD4" w:themeColor="text2" w:themeTint="99"/>
          <w:sz w:val="24"/>
          <w:szCs w:val="24"/>
          <w:lang w:val="de-DE"/>
        </w:rPr>
        <w:t xml:space="preserve"> de</w:t>
      </w:r>
      <w:r w:rsidR="00FC4E73">
        <w:rPr>
          <w:rFonts w:ascii="Arial" w:hAnsi="Arial" w:cs="Arial"/>
          <w:b/>
          <w:color w:val="548DD4" w:themeColor="text2" w:themeTint="99"/>
          <w:sz w:val="24"/>
          <w:szCs w:val="24"/>
          <w:lang w:val="de-DE"/>
        </w:rPr>
        <w:t>r</w:t>
      </w:r>
      <w:r w:rsidR="00FC4E73" w:rsidRPr="008F2D3B">
        <w:rPr>
          <w:rFonts w:ascii="Arial" w:hAnsi="Arial" w:cs="Arial"/>
          <w:b/>
          <w:color w:val="548DD4" w:themeColor="text2" w:themeTint="99"/>
          <w:sz w:val="24"/>
          <w:szCs w:val="24"/>
          <w:lang w:val="de-DE"/>
        </w:rPr>
        <w:t xml:space="preserve"> weitere Verhandlungsverlauf ein</w:t>
      </w:r>
      <w:r w:rsidR="00FC4E73">
        <w:rPr>
          <w:rFonts w:ascii="Arial" w:hAnsi="Arial" w:cs="Arial"/>
          <w:b/>
          <w:color w:val="548DD4" w:themeColor="text2" w:themeTint="99"/>
          <w:sz w:val="24"/>
          <w:szCs w:val="24"/>
          <w:lang w:val="de-DE"/>
        </w:rPr>
        <w:t>geschätzt</w:t>
      </w:r>
      <w:r w:rsidR="00FC4E73" w:rsidRPr="008F2D3B">
        <w:rPr>
          <w:rFonts w:ascii="Arial" w:hAnsi="Arial" w:cs="Arial"/>
          <w:b/>
          <w:color w:val="548DD4" w:themeColor="text2" w:themeTint="99"/>
          <w:sz w:val="24"/>
          <w:szCs w:val="24"/>
          <w:lang w:val="de-DE"/>
        </w:rPr>
        <w:t>?</w:t>
      </w:r>
    </w:p>
    <w:p w:rsidR="00FC4E73" w:rsidRPr="002A0275" w:rsidRDefault="00FC4E73" w:rsidP="00FC4E73">
      <w:pPr>
        <w:spacing w:after="120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  <w:r w:rsidRPr="00D241C7">
        <w:rPr>
          <w:rFonts w:ascii="Arial" w:eastAsia="Times New Roman" w:hAnsi="Arial" w:cs="Times New Roman"/>
          <w:sz w:val="24"/>
          <w:szCs w:val="24"/>
          <w:lang w:eastAsia="de-DE"/>
        </w:rPr>
        <w:t xml:space="preserve">Auf einfache Verhandlungen stellt man sich vor allem aufgrund der auf beiden Seiten bestehenden hohen Erwartungshaltung nicht ein. Zentraler Verhandlungspunkt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wird </w:t>
      </w:r>
      <w:r w:rsidRPr="00D241C7">
        <w:rPr>
          <w:rFonts w:ascii="Arial" w:eastAsia="Times New Roman" w:hAnsi="Arial" w:cs="Times New Roman"/>
          <w:sz w:val="24"/>
          <w:szCs w:val="24"/>
          <w:lang w:eastAsia="de-DE"/>
        </w:rPr>
        <w:t xml:space="preserve">der Abbau </w:t>
      </w:r>
      <w:r w:rsidRPr="0060084F">
        <w:rPr>
          <w:rFonts w:ascii="Arial" w:eastAsia="Times New Roman" w:hAnsi="Arial" w:cs="Times New Roman"/>
          <w:b/>
          <w:sz w:val="24"/>
          <w:szCs w:val="24"/>
          <w:lang w:eastAsia="de-DE"/>
        </w:rPr>
        <w:t>nicht-tarifärer Handelshemmnisse</w:t>
      </w:r>
      <w:r w:rsidRPr="00D241C7">
        <w:rPr>
          <w:rFonts w:ascii="Arial" w:eastAsia="Times New Roman" w:hAnsi="Arial" w:cs="Times New Roman"/>
          <w:sz w:val="24"/>
          <w:szCs w:val="24"/>
          <w:lang w:eastAsia="de-DE"/>
        </w:rPr>
        <w:t xml:space="preserve"> sein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.</w:t>
      </w:r>
      <w:r w:rsidRPr="00277C94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Nicht-tarifäre Handelshemmnisse stellen</w:t>
      </w:r>
      <w:r w:rsidRPr="002A0275">
        <w:rPr>
          <w:rFonts w:ascii="Arial" w:eastAsia="Times New Roman" w:hAnsi="Arial" w:cs="Times New Roman"/>
          <w:sz w:val="24"/>
          <w:szCs w:val="24"/>
          <w:lang w:eastAsia="de-DE"/>
        </w:rPr>
        <w:t xml:space="preserve"> Handelsbarrieren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dar</w:t>
      </w:r>
      <w:r w:rsidRPr="002A0275">
        <w:rPr>
          <w:rFonts w:ascii="Arial" w:eastAsia="Times New Roman" w:hAnsi="Arial" w:cs="Times New Roman"/>
          <w:sz w:val="24"/>
          <w:szCs w:val="24"/>
          <w:lang w:eastAsia="de-DE"/>
        </w:rPr>
        <w:t xml:space="preserve">, die keine Zölle sind und aus divergierenden, oft historisch gewachsenen Regulierungssystemen resultieren. Auf diesem Gebiet bestehen allerdings </w:t>
      </w:r>
      <w:r w:rsidRPr="002A0275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unterschiedliche Vorstellungen</w:t>
      </w:r>
      <w:r w:rsidRPr="002A0275">
        <w:rPr>
          <w:rFonts w:ascii="Arial" w:eastAsia="Times New Roman" w:hAnsi="Arial" w:cs="Times New Roman"/>
          <w:sz w:val="24"/>
          <w:szCs w:val="24"/>
          <w:lang w:eastAsia="de-DE"/>
        </w:rPr>
        <w:t xml:space="preserve">. </w:t>
      </w:r>
      <w:r w:rsidRPr="002A0275">
        <w:rPr>
          <w:rFonts w:ascii="Arial" w:eastAsia="Times New Roman" w:hAnsi="Arial" w:cs="Times New Roman"/>
          <w:bCs/>
          <w:sz w:val="24"/>
          <w:szCs w:val="24"/>
          <w:lang w:eastAsia="de-DE"/>
        </w:rPr>
        <w:t>Zu den</w:t>
      </w:r>
      <w:r w:rsidRPr="002A0275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 schwierigen Verhandlungsbereichen</w:t>
      </w:r>
      <w:r w:rsidRPr="002A0275">
        <w:rPr>
          <w:rFonts w:ascii="Arial" w:eastAsia="Times New Roman" w:hAnsi="Arial" w:cs="Times New Roman"/>
          <w:bCs/>
          <w:sz w:val="24"/>
          <w:szCs w:val="24"/>
          <w:lang w:eastAsia="de-DE"/>
        </w:rPr>
        <w:t xml:space="preserve"> zählen:</w:t>
      </w:r>
    </w:p>
    <w:p w:rsidR="00FC4E73" w:rsidRPr="002A0275" w:rsidRDefault="00FC4E73" w:rsidP="00FC4E73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der </w:t>
      </w:r>
      <w:r w:rsidRPr="002A0275">
        <w:rPr>
          <w:rFonts w:ascii="Arial" w:hAnsi="Arial" w:cs="Arial"/>
          <w:b/>
          <w:bCs/>
        </w:rPr>
        <w:t xml:space="preserve">Agrarsektor: </w:t>
      </w:r>
      <w:r>
        <w:rPr>
          <w:rFonts w:ascii="Arial" w:hAnsi="Arial" w:cs="Arial"/>
        </w:rPr>
        <w:t>D</w:t>
      </w:r>
      <w:r w:rsidRPr="002A0275">
        <w:rPr>
          <w:rFonts w:ascii="Arial" w:hAnsi="Arial" w:cs="Arial"/>
        </w:rPr>
        <w:t>er großflächige Einsatz von Hormonen in der Tierzucht sowie die Oberflächenbehandlung von Frischfleisch wird von der EU abgelehnt</w:t>
      </w:r>
    </w:p>
    <w:p w:rsidR="00FC4E73" w:rsidRPr="002A0275" w:rsidRDefault="00FC4E73" w:rsidP="00FC4E73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2A0275">
        <w:rPr>
          <w:rFonts w:ascii="Arial" w:hAnsi="Arial" w:cs="Arial"/>
          <w:b/>
          <w:bCs/>
        </w:rPr>
        <w:t xml:space="preserve">Dienstleistungen: </w:t>
      </w:r>
      <w:r w:rsidRPr="00EC0FA1">
        <w:rPr>
          <w:rFonts w:ascii="Arial" w:hAnsi="Arial" w:cs="Arial"/>
          <w:bCs/>
        </w:rPr>
        <w:t>Die H</w:t>
      </w:r>
      <w:r w:rsidRPr="002A0275">
        <w:rPr>
          <w:rFonts w:ascii="Arial" w:hAnsi="Arial" w:cs="Arial"/>
          <w:bCs/>
        </w:rPr>
        <w:t xml:space="preserve">erausforderung ist, </w:t>
      </w:r>
      <w:r w:rsidRPr="002A0275">
        <w:rPr>
          <w:rFonts w:ascii="Arial" w:hAnsi="Arial" w:cs="Arial"/>
        </w:rPr>
        <w:t>sehr unterschiedlich regulierte Dienstleistungen wie Versicherungen oder Finanzprodukte zu harmonisieren</w:t>
      </w:r>
    </w:p>
    <w:p w:rsidR="00FC4E73" w:rsidRPr="002A0275" w:rsidRDefault="00FC4E73" w:rsidP="00FC4E73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der </w:t>
      </w:r>
      <w:r w:rsidRPr="002A0275">
        <w:rPr>
          <w:rFonts w:ascii="Arial" w:hAnsi="Arial" w:cs="Arial"/>
          <w:b/>
          <w:bCs/>
        </w:rPr>
        <w:t xml:space="preserve">Autobau: </w:t>
      </w:r>
      <w:r>
        <w:rPr>
          <w:rFonts w:ascii="Arial" w:hAnsi="Arial" w:cs="Arial"/>
        </w:rPr>
        <w:t>U</w:t>
      </w:r>
      <w:r w:rsidRPr="002A0275">
        <w:rPr>
          <w:rFonts w:ascii="Arial" w:hAnsi="Arial" w:cs="Arial"/>
        </w:rPr>
        <w:t>nterschiedliche Regelungen und Normen führen dazu, dass bestimmte Modelle aus den USA in der EU (und umgekehrt) derzeit gar nicht angeboten werden;</w:t>
      </w:r>
    </w:p>
    <w:p w:rsidR="00FC4E73" w:rsidRPr="002A0275" w:rsidRDefault="00FC4E73" w:rsidP="00FC4E73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auto"/>
        </w:rPr>
      </w:pPr>
      <w:r w:rsidRPr="002A0275">
        <w:rPr>
          <w:rFonts w:ascii="Arial" w:hAnsi="Arial" w:cs="Arial"/>
          <w:b/>
          <w:bCs/>
          <w:color w:val="auto"/>
        </w:rPr>
        <w:t xml:space="preserve">öffentliche Aufträge: </w:t>
      </w:r>
      <w:r>
        <w:rPr>
          <w:rFonts w:ascii="Arial" w:hAnsi="Arial" w:cs="Arial"/>
          <w:color w:val="auto"/>
        </w:rPr>
        <w:t>W</w:t>
      </w:r>
      <w:r w:rsidRPr="002A0275">
        <w:rPr>
          <w:rFonts w:ascii="Arial" w:hAnsi="Arial" w:cs="Arial"/>
          <w:color w:val="auto"/>
        </w:rPr>
        <w:t xml:space="preserve">ährend die EU und die USA Vertragsstaaten des </w:t>
      </w:r>
      <w:r w:rsidRPr="00287AB4">
        <w:rPr>
          <w:rFonts w:ascii="Arial" w:hAnsi="Arial" w:cs="Arial"/>
          <w:i/>
          <w:color w:val="auto"/>
        </w:rPr>
        <w:t>Übereinkommens über das öffentliche Beschaffungswesen</w:t>
      </w:r>
      <w:r w:rsidRPr="002A0275">
        <w:rPr>
          <w:rFonts w:ascii="Arial" w:hAnsi="Arial" w:cs="Arial"/>
          <w:color w:val="auto"/>
        </w:rPr>
        <w:t xml:space="preserve"> im Rahmen der WTO sind, das die Teilnahme an öffentlichen Ausschreibungen erlaubt, sind einzelne US Bundesstaaten</w:t>
      </w:r>
      <w:r>
        <w:rPr>
          <w:rFonts w:ascii="Arial" w:hAnsi="Arial" w:cs="Arial"/>
          <w:color w:val="auto"/>
        </w:rPr>
        <w:t xml:space="preserve"> und </w:t>
      </w:r>
      <w:r w:rsidRPr="002A0275">
        <w:rPr>
          <w:rFonts w:ascii="Arial" w:hAnsi="Arial" w:cs="Arial"/>
          <w:color w:val="auto"/>
        </w:rPr>
        <w:t>Kommunen nicht an das Abkommen gebunden;</w:t>
      </w:r>
    </w:p>
    <w:p w:rsidR="00FC4E73" w:rsidRPr="002A0275" w:rsidRDefault="00FC4E73" w:rsidP="00FC4E73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auto"/>
        </w:rPr>
      </w:pPr>
      <w:r w:rsidRPr="002A0275">
        <w:rPr>
          <w:rFonts w:ascii="Arial" w:hAnsi="Arial" w:cs="Arial"/>
          <w:b/>
          <w:bCs/>
          <w:color w:val="auto"/>
        </w:rPr>
        <w:t xml:space="preserve">geistige Eigentumsrechte: </w:t>
      </w:r>
      <w:r>
        <w:rPr>
          <w:rFonts w:ascii="Arial" w:hAnsi="Arial" w:cs="Arial"/>
          <w:color w:val="auto"/>
        </w:rPr>
        <w:t>A</w:t>
      </w:r>
      <w:r w:rsidRPr="002A0275">
        <w:rPr>
          <w:rFonts w:ascii="Arial" w:hAnsi="Arial" w:cs="Arial"/>
          <w:color w:val="auto"/>
        </w:rPr>
        <w:t xml:space="preserve">uch hier werden aufgrund unterschiedlicher Systeme z.B. im Patentschutz, aber auch für Marken- und Urheberrechte sowie für den Schutz geografischer Herkunftsbezeichnungen komplexe Verhandlungen erwartet. </w:t>
      </w:r>
    </w:p>
    <w:p w:rsidR="00FC4E73" w:rsidRDefault="00FC4E73" w:rsidP="00FC4E73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die </w:t>
      </w:r>
      <w:r w:rsidRPr="00DB7A07">
        <w:rPr>
          <w:rFonts w:ascii="Arial" w:hAnsi="Arial" w:cs="Arial"/>
          <w:b/>
          <w:color w:val="auto"/>
        </w:rPr>
        <w:t>Pharmazie</w:t>
      </w:r>
      <w:r w:rsidRPr="00DB7A07">
        <w:rPr>
          <w:rFonts w:ascii="Arial" w:hAnsi="Arial" w:cs="Arial"/>
          <w:color w:val="auto"/>
        </w:rPr>
        <w:t xml:space="preserve">: </w:t>
      </w:r>
      <w:r>
        <w:rPr>
          <w:rFonts w:ascii="Arial" w:hAnsi="Arial" w:cs="Arial"/>
          <w:color w:val="auto"/>
        </w:rPr>
        <w:t>N</w:t>
      </w:r>
      <w:r w:rsidRPr="00DB7A07">
        <w:rPr>
          <w:rFonts w:ascii="Arial" w:hAnsi="Arial" w:cs="Arial"/>
          <w:color w:val="auto"/>
        </w:rPr>
        <w:t xml:space="preserve">eue Medikamente müssen sowohl in den USA als auch in der EU genehmigt werden. </w:t>
      </w:r>
      <w:r>
        <w:rPr>
          <w:rFonts w:ascii="Arial" w:hAnsi="Arial" w:cs="Arial"/>
          <w:color w:val="auto"/>
        </w:rPr>
        <w:t>Probleme</w:t>
      </w:r>
      <w:r w:rsidRPr="00DB7A07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ergeben</w:t>
      </w:r>
      <w:r w:rsidRPr="00DB7A07">
        <w:rPr>
          <w:rFonts w:ascii="Arial" w:hAnsi="Arial" w:cs="Arial"/>
          <w:color w:val="auto"/>
        </w:rPr>
        <w:t xml:space="preserve"> sich </w:t>
      </w:r>
      <w:r>
        <w:rPr>
          <w:rFonts w:ascii="Arial" w:hAnsi="Arial" w:cs="Arial"/>
          <w:color w:val="auto"/>
        </w:rPr>
        <w:t>derzeit in Zusammenhang mit der Frage,</w:t>
      </w:r>
      <w:r w:rsidRPr="00DB7A07">
        <w:rPr>
          <w:rFonts w:ascii="Arial" w:hAnsi="Arial" w:cs="Arial"/>
          <w:color w:val="auto"/>
        </w:rPr>
        <w:t xml:space="preserve"> ob die </w:t>
      </w:r>
      <w:r>
        <w:rPr>
          <w:rFonts w:ascii="Arial" w:hAnsi="Arial" w:cs="Arial"/>
          <w:color w:val="auto"/>
        </w:rPr>
        <w:t xml:space="preserve">relativ unabhängig agierenden Regulierungsbehörden, beispielsweise die </w:t>
      </w:r>
      <w:r w:rsidRPr="00DB7A07">
        <w:rPr>
          <w:rFonts w:ascii="Arial" w:hAnsi="Arial" w:cs="Arial"/>
          <w:color w:val="auto"/>
        </w:rPr>
        <w:t>Arzneimittelbehörde</w:t>
      </w:r>
      <w:r>
        <w:rPr>
          <w:rFonts w:ascii="Arial" w:hAnsi="Arial" w:cs="Arial"/>
          <w:color w:val="auto"/>
        </w:rPr>
        <w:t xml:space="preserve"> </w:t>
      </w:r>
      <w:r w:rsidRPr="002249CE">
        <w:rPr>
          <w:rFonts w:ascii="Arial" w:hAnsi="Arial" w:cs="Arial"/>
          <w:color w:val="auto"/>
        </w:rPr>
        <w:t>FDA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color w:val="auto"/>
        </w:rPr>
        <w:t xml:space="preserve">  die</w:t>
      </w:r>
      <w:r w:rsidRPr="00DB7A07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europäischen </w:t>
      </w:r>
      <w:r w:rsidRPr="00DB7A07">
        <w:rPr>
          <w:rFonts w:ascii="Arial" w:hAnsi="Arial" w:cs="Arial"/>
          <w:color w:val="auto"/>
        </w:rPr>
        <w:t>Zertifizierung</w:t>
      </w:r>
      <w:r>
        <w:rPr>
          <w:rFonts w:ascii="Arial" w:hAnsi="Arial" w:cs="Arial"/>
          <w:color w:val="auto"/>
        </w:rPr>
        <w:t>en akzeptieren kann (ebenso umgekehrt)</w:t>
      </w:r>
      <w:r w:rsidRPr="00DB7A07">
        <w:rPr>
          <w:rFonts w:ascii="Arial" w:hAnsi="Arial" w:cs="Arial"/>
          <w:color w:val="auto"/>
        </w:rPr>
        <w:t xml:space="preserve">. </w:t>
      </w:r>
    </w:p>
    <w:p w:rsidR="00FC4E73" w:rsidRPr="002A0275" w:rsidRDefault="00FC4E73" w:rsidP="00FC4E73">
      <w:pPr>
        <w:pStyle w:val="StandardWeb"/>
        <w:jc w:val="both"/>
        <w:rPr>
          <w:rFonts w:ascii="Arial" w:hAnsi="Arial" w:cs="Arial"/>
        </w:rPr>
      </w:pPr>
      <w:r w:rsidRPr="00910D60">
        <w:rPr>
          <w:rFonts w:ascii="Arial" w:hAnsi="Arial" w:cs="Arial"/>
        </w:rPr>
        <w:t xml:space="preserve">Die offiziellen Verhandlungen haben im Juli 2013 begonnen. </w:t>
      </w:r>
      <w:r>
        <w:rPr>
          <w:rFonts w:ascii="Arial" w:hAnsi="Arial" w:cs="Arial"/>
        </w:rPr>
        <w:t xml:space="preserve">Bis 2015 hofft die EU-Kommission die Verhandlungen abzuschließen. Dann müssen auch noch das Europäische Parlament und alle 28 Mitgliedsstaaten zustimmen. Dass die </w:t>
      </w:r>
      <w:r>
        <w:rPr>
          <w:rFonts w:ascii="Arial" w:hAnsi="Arial" w:cs="Arial"/>
        </w:rPr>
        <w:lastRenderedPageBreak/>
        <w:t xml:space="preserve">Verhandlungen mehr Zeit in Anspruch nehmen werden, bestätigt auch die Erfahrung aus anderen ähnlich gelagerten Handelsabkommen, wie dem </w:t>
      </w:r>
      <w:r w:rsidRPr="00DB7A07">
        <w:rPr>
          <w:rFonts w:ascii="Arial" w:hAnsi="Arial" w:cs="Arial"/>
        </w:rPr>
        <w:t>Freihandelsabkommen zwischen der EU und Kanada</w:t>
      </w:r>
      <w:r>
        <w:rPr>
          <w:rFonts w:ascii="Arial" w:hAnsi="Arial" w:cs="Arial"/>
        </w:rPr>
        <w:t xml:space="preserve"> – die Verhandlungen liefen seit</w:t>
      </w:r>
      <w:r w:rsidRPr="00DB7A07">
        <w:rPr>
          <w:rFonts w:ascii="Arial" w:hAnsi="Arial" w:cs="Arial"/>
        </w:rPr>
        <w:t xml:space="preserve"> 2009 und </w:t>
      </w:r>
      <w:r>
        <w:rPr>
          <w:rFonts w:ascii="Arial" w:hAnsi="Arial" w:cs="Arial"/>
        </w:rPr>
        <w:t>dauerten insgesamt vier Jahre; erst kürzlich konnte eine grundsätzliche Einigung erzielt werden.</w:t>
      </w:r>
    </w:p>
    <w:p w:rsidR="00FC4E73" w:rsidRPr="002A0275" w:rsidRDefault="00FC4E73" w:rsidP="00FC4E73">
      <w:pPr>
        <w:spacing w:after="120"/>
        <w:jc w:val="both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2A0275">
        <w:rPr>
          <w:rFonts w:ascii="Arial" w:hAnsi="Arial" w:cs="Arial"/>
          <w:b/>
          <w:color w:val="548DD4" w:themeColor="text2" w:themeTint="99"/>
          <w:sz w:val="24"/>
          <w:szCs w:val="24"/>
          <w:lang w:val="de-DE"/>
        </w:rPr>
        <w:t>Worin besteht der Unterschied zwischen berechtigten Schutzvorschriften und nicht-tarifären Handelshemmnissen?</w:t>
      </w:r>
    </w:p>
    <w:p w:rsidR="00FC4E73" w:rsidRDefault="00FC4E73" w:rsidP="00FC4E73">
      <w:pPr>
        <w:pStyle w:val="FreieForm"/>
        <w:spacing w:after="120"/>
        <w:jc w:val="both"/>
        <w:rPr>
          <w:rFonts w:ascii="Arial" w:eastAsia="Times New Roman" w:hAnsi="Arial"/>
          <w:i/>
          <w:color w:val="auto"/>
          <w:szCs w:val="24"/>
          <w:lang w:val="de-AT" w:eastAsia="de-DE"/>
        </w:rPr>
      </w:pPr>
      <w:r w:rsidRPr="002A0275">
        <w:rPr>
          <w:rFonts w:ascii="Arial" w:eastAsia="Times New Roman" w:hAnsi="Arial"/>
          <w:color w:val="auto"/>
          <w:szCs w:val="24"/>
          <w:lang w:val="de-AT" w:eastAsia="de-DE"/>
        </w:rPr>
        <w:t>Grundsätzlich kann jeder Staat das Schutzniveau seiner nationalen Maßnahmen im Hinblick auf technische Sicherheit, Gesundheits- und Konsumentenschutz etc. frei wählen. Nicht alle der nicht-tarifären Maßnahmen sind deshalb ungerechtfertigt. Zu protektionistischen, ungerechtfertigten nicht-tarifären Handelshemmnissen werden die nationalen „Schutzvorschriften“ erst dann, wenn wichtige Grundsätze der internationalen Handelspolitik wie Nicht-Diskriminierung, Verhältnismäßigkeit, Transparenz etc. nicht beachtet werden.</w:t>
      </w:r>
      <w:r>
        <w:rPr>
          <w:rFonts w:ascii="Arial" w:eastAsia="Times New Roman" w:hAnsi="Arial"/>
          <w:color w:val="auto"/>
          <w:szCs w:val="24"/>
          <w:lang w:val="de-AT" w:eastAsia="de-DE"/>
        </w:rPr>
        <w:t xml:space="preserve"> </w:t>
      </w:r>
      <w:r w:rsidRPr="0094125D">
        <w:rPr>
          <w:rFonts w:ascii="Arial" w:eastAsia="Times New Roman" w:hAnsi="Arial"/>
          <w:iCs/>
          <w:color w:val="auto"/>
          <w:szCs w:val="24"/>
          <w:lang w:val="de-AT" w:eastAsia="de-DE"/>
        </w:rPr>
        <w:t>Die EU</w:t>
      </w:r>
      <w:r>
        <w:rPr>
          <w:rFonts w:ascii="Arial" w:eastAsia="Times New Roman" w:hAnsi="Arial"/>
          <w:i/>
          <w:color w:val="auto"/>
          <w:szCs w:val="24"/>
          <w:lang w:val="de-AT" w:eastAsia="de-DE"/>
        </w:rPr>
        <w:t xml:space="preserve"> </w:t>
      </w:r>
      <w:r>
        <w:rPr>
          <w:rFonts w:ascii="Arial" w:eastAsia="Times New Roman" w:hAnsi="Arial"/>
          <w:color w:val="auto"/>
          <w:szCs w:val="24"/>
          <w:lang w:val="de-AT" w:eastAsia="de-DE"/>
        </w:rPr>
        <w:t>und die USA werden also weiterhin Schutzvorschriften vorsehen können</w:t>
      </w:r>
      <w:r>
        <w:rPr>
          <w:rFonts w:ascii="Arial" w:eastAsia="Times New Roman" w:hAnsi="Arial"/>
          <w:i/>
          <w:color w:val="auto"/>
          <w:szCs w:val="24"/>
          <w:lang w:val="de-AT" w:eastAsia="de-DE"/>
        </w:rPr>
        <w:t xml:space="preserve">. </w:t>
      </w:r>
    </w:p>
    <w:p w:rsidR="00FC4E73" w:rsidRDefault="00140DF7" w:rsidP="002B404A">
      <w:pPr>
        <w:spacing w:after="120"/>
        <w:jc w:val="both"/>
        <w:rPr>
          <w:rFonts w:ascii="Arial" w:hAnsi="Arial" w:cs="Arial"/>
          <w:b/>
          <w:color w:val="548DD4" w:themeColor="text2" w:themeTint="99"/>
          <w:sz w:val="24"/>
          <w:szCs w:val="24"/>
          <w:lang w:val="de-DE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lang w:val="de-DE"/>
        </w:rPr>
        <w:t>Wie wird sichergestellt</w:t>
      </w:r>
      <w:r w:rsidR="002B404A">
        <w:rPr>
          <w:rFonts w:ascii="Arial" w:hAnsi="Arial" w:cs="Arial"/>
          <w:b/>
          <w:color w:val="548DD4" w:themeColor="text2" w:themeTint="99"/>
          <w:sz w:val="24"/>
          <w:szCs w:val="24"/>
          <w:lang w:val="de-DE"/>
        </w:rPr>
        <w:t xml:space="preserve">, dass die Verhandlungen transparent </w:t>
      </w:r>
      <w:r w:rsidR="008E2A16">
        <w:rPr>
          <w:rFonts w:ascii="Arial" w:hAnsi="Arial" w:cs="Arial"/>
          <w:b/>
          <w:color w:val="548DD4" w:themeColor="text2" w:themeTint="99"/>
          <w:sz w:val="24"/>
          <w:szCs w:val="24"/>
          <w:lang w:val="de-DE"/>
        </w:rPr>
        <w:t>verlaufen</w:t>
      </w:r>
      <w:r w:rsidR="002B404A">
        <w:rPr>
          <w:rFonts w:ascii="Arial" w:hAnsi="Arial" w:cs="Arial"/>
          <w:b/>
          <w:color w:val="548DD4" w:themeColor="text2" w:themeTint="99"/>
          <w:sz w:val="24"/>
          <w:szCs w:val="24"/>
          <w:lang w:val="de-DE"/>
        </w:rPr>
        <w:t>?</w:t>
      </w:r>
    </w:p>
    <w:p w:rsidR="002B404A" w:rsidRDefault="00140DF7" w:rsidP="002B404A">
      <w:pPr>
        <w:pStyle w:val="FreieForm"/>
        <w:spacing w:after="120"/>
        <w:jc w:val="both"/>
        <w:rPr>
          <w:rFonts w:ascii="Arial" w:eastAsia="Times New Roman" w:hAnsi="Arial"/>
          <w:color w:val="auto"/>
          <w:szCs w:val="24"/>
          <w:lang w:val="de-AT" w:eastAsia="de-DE"/>
        </w:rPr>
      </w:pPr>
      <w:r>
        <w:rPr>
          <w:rFonts w:ascii="Arial" w:eastAsia="Times New Roman" w:hAnsi="Arial"/>
          <w:color w:val="auto"/>
          <w:szCs w:val="24"/>
          <w:lang w:val="de-AT" w:eastAsia="de-DE"/>
        </w:rPr>
        <w:t>P</w:t>
      </w:r>
      <w:r w:rsidR="002B404A" w:rsidRPr="002B404A">
        <w:rPr>
          <w:rFonts w:ascii="Arial" w:eastAsia="Times New Roman" w:hAnsi="Arial"/>
          <w:color w:val="auto"/>
          <w:szCs w:val="24"/>
          <w:lang w:val="de-AT" w:eastAsia="de-DE"/>
        </w:rPr>
        <w:t xml:space="preserve">arallel zu den Verhandlungen </w:t>
      </w:r>
      <w:r w:rsidR="00134456">
        <w:rPr>
          <w:rFonts w:ascii="Arial" w:eastAsia="Times New Roman" w:hAnsi="Arial"/>
          <w:color w:val="auto"/>
          <w:szCs w:val="24"/>
          <w:lang w:val="de-AT" w:eastAsia="de-DE"/>
        </w:rPr>
        <w:t>fi</w:t>
      </w:r>
      <w:r w:rsidR="002B404A">
        <w:rPr>
          <w:rFonts w:ascii="Arial" w:eastAsia="Times New Roman" w:hAnsi="Arial"/>
          <w:color w:val="auto"/>
          <w:szCs w:val="24"/>
          <w:lang w:val="de-AT" w:eastAsia="de-DE"/>
        </w:rPr>
        <w:t>nden</w:t>
      </w:r>
      <w:r w:rsidR="002B404A" w:rsidRPr="002B404A">
        <w:rPr>
          <w:rFonts w:ascii="Arial" w:eastAsia="Times New Roman" w:hAnsi="Arial"/>
          <w:color w:val="auto"/>
          <w:szCs w:val="24"/>
          <w:lang w:val="de-AT" w:eastAsia="de-DE"/>
        </w:rPr>
        <w:t xml:space="preserve"> laufend Informationsveranstaltungen der </w:t>
      </w:r>
      <w:r w:rsidR="00972BF3">
        <w:rPr>
          <w:rFonts w:eastAsia="Times New Roman"/>
          <w:szCs w:val="24"/>
          <w:lang w:eastAsia="de-DE"/>
        </w:rPr>
        <w:t xml:space="preserve">Europäischen Kommission </w:t>
      </w:r>
      <w:r w:rsidR="002B404A" w:rsidRPr="002B404A">
        <w:rPr>
          <w:rFonts w:ascii="Arial" w:eastAsia="Times New Roman" w:hAnsi="Arial"/>
          <w:color w:val="auto"/>
          <w:szCs w:val="24"/>
          <w:lang w:val="de-AT" w:eastAsia="de-DE"/>
        </w:rPr>
        <w:t>und der US-</w:t>
      </w:r>
      <w:proofErr w:type="spellStart"/>
      <w:r w:rsidR="002B404A" w:rsidRPr="002B404A">
        <w:rPr>
          <w:rFonts w:ascii="Arial" w:eastAsia="Times New Roman" w:hAnsi="Arial"/>
          <w:color w:val="auto"/>
          <w:szCs w:val="24"/>
          <w:lang w:val="de-AT" w:eastAsia="de-DE"/>
        </w:rPr>
        <w:t>Verhandler</w:t>
      </w:r>
      <w:proofErr w:type="spellEnd"/>
      <w:r w:rsidR="002B404A" w:rsidRPr="002B404A">
        <w:rPr>
          <w:rFonts w:ascii="Arial" w:eastAsia="Times New Roman" w:hAnsi="Arial"/>
          <w:color w:val="auto"/>
          <w:szCs w:val="24"/>
          <w:lang w:val="de-AT" w:eastAsia="de-DE"/>
        </w:rPr>
        <w:t xml:space="preserve"> für Nicht</w:t>
      </w:r>
      <w:r w:rsidR="00520D85">
        <w:rPr>
          <w:rFonts w:ascii="Arial" w:eastAsia="Times New Roman" w:hAnsi="Arial"/>
          <w:color w:val="auto"/>
          <w:szCs w:val="24"/>
          <w:lang w:val="de-AT" w:eastAsia="de-DE"/>
        </w:rPr>
        <w:t xml:space="preserve">regierungsorganisationen statt. Österreich unterstützt alle Maßnahmen, </w:t>
      </w:r>
      <w:r w:rsidR="008E2A16">
        <w:rPr>
          <w:rFonts w:ascii="Arial" w:eastAsia="Times New Roman" w:hAnsi="Arial"/>
          <w:color w:val="auto"/>
          <w:szCs w:val="24"/>
          <w:lang w:val="de-AT" w:eastAsia="de-DE"/>
        </w:rPr>
        <w:t>die dazu beitragen,</w:t>
      </w:r>
      <w:r w:rsidR="00520D85">
        <w:rPr>
          <w:rFonts w:ascii="Arial" w:eastAsia="Times New Roman" w:hAnsi="Arial"/>
          <w:color w:val="auto"/>
          <w:szCs w:val="24"/>
          <w:lang w:val="de-AT" w:eastAsia="de-DE"/>
        </w:rPr>
        <w:t xml:space="preserve"> mangelnde  Transparenz hinsichtlich Verlauf und Themen der Verhandlungen </w:t>
      </w:r>
      <w:r>
        <w:rPr>
          <w:rFonts w:ascii="Arial" w:eastAsia="Times New Roman" w:hAnsi="Arial"/>
          <w:color w:val="auto"/>
          <w:szCs w:val="24"/>
          <w:lang w:val="de-AT" w:eastAsia="de-DE"/>
        </w:rPr>
        <w:t xml:space="preserve">bestmöglich </w:t>
      </w:r>
      <w:r w:rsidR="00520D85">
        <w:rPr>
          <w:rFonts w:ascii="Arial" w:eastAsia="Times New Roman" w:hAnsi="Arial"/>
          <w:color w:val="auto"/>
          <w:szCs w:val="24"/>
          <w:lang w:val="de-AT" w:eastAsia="de-DE"/>
        </w:rPr>
        <w:t xml:space="preserve">auszuschließen. </w:t>
      </w:r>
    </w:p>
    <w:p w:rsidR="00CC68CF" w:rsidRPr="002B404A" w:rsidRDefault="00CC68CF" w:rsidP="002B404A">
      <w:pPr>
        <w:pStyle w:val="FreieForm"/>
        <w:spacing w:after="120"/>
        <w:jc w:val="both"/>
        <w:rPr>
          <w:rFonts w:ascii="Arial" w:eastAsia="Times New Roman" w:hAnsi="Arial"/>
          <w:color w:val="auto"/>
          <w:szCs w:val="24"/>
          <w:lang w:val="de-AT" w:eastAsia="de-DE"/>
        </w:rPr>
      </w:pPr>
      <w:r w:rsidRPr="00CC68CF">
        <w:rPr>
          <w:rFonts w:ascii="Arial" w:eastAsia="Times New Roman" w:hAnsi="Arial"/>
          <w:color w:val="auto"/>
          <w:szCs w:val="24"/>
          <w:lang w:val="de-AT" w:eastAsia="de-DE"/>
        </w:rPr>
        <w:t xml:space="preserve">Infolge des besonderen öffentlichen Interesses an der Materie hat die Europäische Kommission </w:t>
      </w:r>
      <w:r w:rsidRPr="00CC68CF">
        <w:rPr>
          <w:rFonts w:ascii="Arial" w:eastAsia="Times New Roman" w:hAnsi="Arial"/>
          <w:b/>
          <w:color w:val="auto"/>
          <w:szCs w:val="24"/>
          <w:lang w:val="de-AT" w:eastAsia="de-DE"/>
        </w:rPr>
        <w:t>öffentliche Konsultationen</w:t>
      </w:r>
      <w:r w:rsidRPr="00CC68CF">
        <w:rPr>
          <w:rFonts w:ascii="Arial" w:eastAsia="Times New Roman" w:hAnsi="Arial"/>
          <w:color w:val="auto"/>
          <w:szCs w:val="24"/>
          <w:lang w:val="de-AT" w:eastAsia="de-DE"/>
        </w:rPr>
        <w:t xml:space="preserve"> darüber angekündigt, wie die Bestimmungen über den Investitionsschutz und der Streitbeilegungsmechanismus zwischen Investoren und Staat im TTIP-Vertragstext ausgestaltet werden sollen. Dabei ist jedermann aufgerufen, sich daran zu beteiligen</w:t>
      </w:r>
      <w:r>
        <w:rPr>
          <w:rFonts w:ascii="Arial" w:eastAsia="Times New Roman" w:hAnsi="Arial"/>
          <w:color w:val="auto"/>
          <w:szCs w:val="24"/>
          <w:lang w:val="de-AT" w:eastAsia="de-DE"/>
        </w:rPr>
        <w:t>.</w:t>
      </w:r>
    </w:p>
    <w:p w:rsidR="00FC4E73" w:rsidRPr="002A0275" w:rsidRDefault="00FC4E73" w:rsidP="00FC4E73">
      <w:pPr>
        <w:spacing w:after="120"/>
        <w:jc w:val="both"/>
        <w:rPr>
          <w:rFonts w:ascii="Arial" w:hAnsi="Arial" w:cs="Arial"/>
          <w:b/>
          <w:color w:val="548DD4" w:themeColor="text2" w:themeTint="99"/>
          <w:sz w:val="24"/>
          <w:szCs w:val="24"/>
          <w:lang w:val="de-DE"/>
        </w:rPr>
      </w:pPr>
      <w:r w:rsidRPr="002A0275">
        <w:rPr>
          <w:rFonts w:ascii="Arial" w:hAnsi="Arial" w:cs="Arial"/>
          <w:b/>
          <w:color w:val="548DD4" w:themeColor="text2" w:themeTint="99"/>
          <w:sz w:val="24"/>
          <w:szCs w:val="24"/>
          <w:lang w:val="de-DE"/>
        </w:rPr>
        <w:t>Was ist der Unterschied zwischen einer Freihandelszone, wie wir sie mit den USA haben werden, und einem Binnenmarkt, wie jenem der EU.</w:t>
      </w:r>
    </w:p>
    <w:p w:rsidR="00FC4E73" w:rsidRPr="002A0275" w:rsidRDefault="00FC4E73" w:rsidP="00FC4E73">
      <w:pPr>
        <w:spacing w:after="120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2A0275">
        <w:rPr>
          <w:rFonts w:ascii="Arial" w:eastAsia="Times New Roman" w:hAnsi="Arial" w:cs="Times New Roman"/>
          <w:sz w:val="24"/>
          <w:szCs w:val="24"/>
          <w:lang w:eastAsia="de-DE"/>
        </w:rPr>
        <w:t>In einer Freihandelszone werden Zölle und tarifäre Handelshemmnisse nur für Güter innerhalb der Freihandelszone abgeschafft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.</w:t>
      </w:r>
      <w:r w:rsidRPr="002A0275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I</w:t>
      </w:r>
      <w:r w:rsidRPr="002A0275">
        <w:rPr>
          <w:rFonts w:ascii="Arial" w:eastAsia="Times New Roman" w:hAnsi="Arial" w:cs="Times New Roman"/>
          <w:sz w:val="24"/>
          <w:szCs w:val="24"/>
          <w:lang w:eastAsia="de-DE"/>
        </w:rPr>
        <w:t xml:space="preserve">m Handel mit Drittländern legen die einzelnen Mitgliedsstaaten die Zölle weiterhin selbstständig fest. </w:t>
      </w:r>
      <w:r w:rsidRPr="00ED60FE">
        <w:rPr>
          <w:rFonts w:ascii="Arial" w:eastAsia="Times New Roman" w:hAnsi="Arial" w:cs="Times New Roman"/>
          <w:sz w:val="24"/>
          <w:szCs w:val="24"/>
          <w:lang w:eastAsia="de-DE"/>
        </w:rPr>
        <w:t xml:space="preserve">In einem Binnenmarkt werden hingegen zusätzlich zur Zollunion (gemeinsame Zollpolitik gegenüber Drittländern) auch nicht-tarifäre Handelshemmnisse (z.B. Normen, Gesetze) weitestgehend abgebaut.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Es entsteht</w:t>
      </w:r>
      <w:r w:rsidRPr="002A0275">
        <w:rPr>
          <w:rFonts w:ascii="Arial" w:eastAsia="Times New Roman" w:hAnsi="Arial" w:cs="Times New Roman"/>
          <w:sz w:val="24"/>
          <w:szCs w:val="24"/>
          <w:lang w:eastAsia="de-DE"/>
        </w:rPr>
        <w:t xml:space="preserve"> ein gemeinsamer Gütermarkt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, in dem</w:t>
      </w:r>
      <w:r w:rsidRPr="002A0275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a</w:t>
      </w:r>
      <w:r w:rsidRPr="002A0275">
        <w:rPr>
          <w:rFonts w:ascii="Arial" w:eastAsia="Times New Roman" w:hAnsi="Arial" w:cs="Times New Roman"/>
          <w:sz w:val="24"/>
          <w:szCs w:val="24"/>
          <w:lang w:eastAsia="de-DE"/>
        </w:rPr>
        <w:t>uch Hemmnisse bei Dienstleistungen, Arbeitskräften und Kapital beseitigt</w:t>
      </w:r>
      <w:r w:rsidRPr="0011554F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Pr="002A0275">
        <w:rPr>
          <w:rFonts w:ascii="Arial" w:eastAsia="Times New Roman" w:hAnsi="Arial" w:cs="Times New Roman"/>
          <w:sz w:val="24"/>
          <w:szCs w:val="24"/>
          <w:lang w:eastAsia="de-DE"/>
        </w:rPr>
        <w:t>werden.</w:t>
      </w:r>
    </w:p>
    <w:p w:rsidR="00FC4E73" w:rsidRDefault="00FC4E73" w:rsidP="00FC4E73">
      <w:pPr>
        <w:spacing w:after="120"/>
        <w:jc w:val="both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lang w:val="de-DE"/>
        </w:rPr>
        <w:t>Wer verhandelt auf EU- Seite und wie vertritt Österreich seine Interessen bei den Verhandlungen</w:t>
      </w:r>
      <w:r w:rsidRPr="008F2D3B">
        <w:rPr>
          <w:rFonts w:ascii="Arial" w:hAnsi="Arial" w:cs="Arial"/>
          <w:b/>
          <w:color w:val="548DD4" w:themeColor="text2" w:themeTint="99"/>
          <w:sz w:val="24"/>
          <w:szCs w:val="24"/>
          <w:lang w:val="de-DE"/>
        </w:rPr>
        <w:t>?</w:t>
      </w:r>
    </w:p>
    <w:p w:rsidR="00FC4E73" w:rsidRPr="0033146F" w:rsidRDefault="00FC4E73" w:rsidP="00FC4E73">
      <w:pPr>
        <w:spacing w:after="120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Die EU wird durch die Europäische Kommission (EK), Generaldirektion Handel, vertreten. Die EK verhandelt auf Basis des unter den EU-Mitgliedstaaten bereits vereinbarten Mandates und stimmt die weitere EU Position laufend mit den EU-Mitgliedstaaten </w:t>
      </w:r>
      <w:r w:rsidRPr="0033146F">
        <w:rPr>
          <w:rFonts w:ascii="Arial" w:eastAsia="Times New Roman" w:hAnsi="Arial" w:cs="Times New Roman"/>
          <w:sz w:val="24"/>
          <w:szCs w:val="24"/>
          <w:lang w:eastAsia="de-DE"/>
        </w:rPr>
        <w:t>im Rahmen des Han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delspolitischen Komitees des </w:t>
      </w:r>
      <w:r w:rsidRPr="0033146F">
        <w:rPr>
          <w:rFonts w:ascii="Arial" w:eastAsia="Times New Roman" w:hAnsi="Arial" w:cs="Times New Roman"/>
          <w:sz w:val="24"/>
          <w:szCs w:val="24"/>
          <w:lang w:eastAsia="de-DE"/>
        </w:rPr>
        <w:t>Rates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Pr="0033146F">
        <w:rPr>
          <w:rFonts w:ascii="Arial" w:eastAsia="Times New Roman" w:hAnsi="Arial" w:cs="Times New Roman"/>
          <w:sz w:val="24"/>
          <w:szCs w:val="24"/>
          <w:lang w:eastAsia="de-DE"/>
        </w:rPr>
        <w:t>(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Trade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de-DE"/>
        </w:rPr>
        <w:t>Policy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de-DE"/>
        </w:rPr>
        <w:t>Commitee</w:t>
      </w:r>
      <w:proofErr w:type="spellEnd"/>
      <w:r w:rsidRPr="0033146F">
        <w:rPr>
          <w:rFonts w:ascii="Arial" w:eastAsia="Times New Roman" w:hAnsi="Arial" w:cs="Times New Roman"/>
          <w:sz w:val="24"/>
          <w:szCs w:val="24"/>
          <w:lang w:eastAsia="de-DE"/>
        </w:rPr>
        <w:t>)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ab. Österreich ist darin durch das </w:t>
      </w:r>
      <w:r w:rsidRPr="0033146F">
        <w:rPr>
          <w:rFonts w:ascii="Arial" w:eastAsia="Times New Roman" w:hAnsi="Arial" w:cs="Times New Roman"/>
          <w:sz w:val="24"/>
          <w:szCs w:val="24"/>
          <w:lang w:eastAsia="de-DE"/>
        </w:rPr>
        <w:t xml:space="preserve">Bundesministerium für Wirtschaft, Familie und Jugend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(BMWFJ) vertreten, welches die ö</w:t>
      </w:r>
      <w:r w:rsidRPr="0033146F">
        <w:rPr>
          <w:rFonts w:ascii="Arial" w:eastAsia="Times New Roman" w:hAnsi="Arial" w:cs="Times New Roman"/>
          <w:sz w:val="24"/>
          <w:szCs w:val="24"/>
          <w:lang w:eastAsia="de-DE"/>
        </w:rPr>
        <w:t>sterreichischen Interessen im Rahme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n</w:t>
      </w:r>
      <w:r w:rsidRPr="0033146F">
        <w:rPr>
          <w:rFonts w:ascii="Arial" w:eastAsia="Times New Roman" w:hAnsi="Arial" w:cs="Times New Roman"/>
          <w:sz w:val="24"/>
          <w:szCs w:val="24"/>
          <w:lang w:eastAsia="de-DE"/>
        </w:rPr>
        <w:t xml:space="preserve"> interministerieller Sitzungen unter Beteiligung der Sozialpartner (WKÖ, Arbeiterkammer, ÖGB, Industriellenvereinigung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,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lastRenderedPageBreak/>
        <w:t>Landwirtschaftskammer</w:t>
      </w:r>
      <w:r w:rsidRPr="0033146F">
        <w:rPr>
          <w:rFonts w:ascii="Arial" w:eastAsia="Times New Roman" w:hAnsi="Arial" w:cs="Times New Roman"/>
          <w:sz w:val="24"/>
          <w:szCs w:val="24"/>
          <w:lang w:eastAsia="de-DE"/>
        </w:rPr>
        <w:t xml:space="preserve">) abstimmt.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Das Bundesministerium für europäische und internationale Angelegenheiten unterstützt die Arbeit des BMWFJ, u.a. durch Einholung ergänzender Informationen durch die österr. Botschaften im Ausland.</w:t>
      </w:r>
    </w:p>
    <w:p w:rsidR="00FC4E73" w:rsidRPr="002A0275" w:rsidRDefault="00B11421" w:rsidP="00FC4E73">
      <w:pPr>
        <w:spacing w:after="120"/>
        <w:jc w:val="both"/>
        <w:rPr>
          <w:rFonts w:ascii="Arial" w:hAnsi="Arial" w:cs="Arial"/>
          <w:b/>
          <w:color w:val="548DD4" w:themeColor="text2" w:themeTint="99"/>
          <w:sz w:val="24"/>
          <w:szCs w:val="24"/>
          <w:lang w:val="de-DE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lang w:val="de-DE"/>
        </w:rPr>
        <w:t>Welche Auswirkungen hatt</w:t>
      </w:r>
      <w:r w:rsidR="00FC4E73" w:rsidRPr="002A0275">
        <w:rPr>
          <w:rFonts w:ascii="Arial" w:hAnsi="Arial" w:cs="Arial"/>
          <w:b/>
          <w:color w:val="548DD4" w:themeColor="text2" w:themeTint="99"/>
          <w:sz w:val="24"/>
          <w:szCs w:val="24"/>
          <w:lang w:val="de-DE"/>
        </w:rPr>
        <w:t>en die Enthüllungen über nachrichtendienstliche Tätigkeiten der NSA?</w:t>
      </w:r>
    </w:p>
    <w:p w:rsidR="00FC4E73" w:rsidRPr="002C01E8" w:rsidRDefault="00FC4E73" w:rsidP="00FC4E73">
      <w:pPr>
        <w:pStyle w:val="FreieForm"/>
        <w:spacing w:after="120"/>
        <w:jc w:val="both"/>
        <w:rPr>
          <w:highlight w:val="yellow"/>
        </w:rPr>
      </w:pPr>
      <w:r w:rsidRPr="002A0275">
        <w:rPr>
          <w:rFonts w:ascii="Arial" w:eastAsia="Times New Roman" w:hAnsi="Arial"/>
          <w:color w:val="auto"/>
          <w:szCs w:val="24"/>
          <w:lang w:val="de-AT" w:eastAsia="de-DE"/>
        </w:rPr>
        <w:t>Der Start der Verhandlungen über das EU-US Freihandelsabkommen im Juli d.J. wurde</w:t>
      </w:r>
      <w:r>
        <w:rPr>
          <w:rFonts w:ascii="Arial" w:eastAsia="Times New Roman" w:hAnsi="Arial"/>
          <w:color w:val="auto"/>
          <w:szCs w:val="24"/>
          <w:lang w:val="de-AT" w:eastAsia="de-DE"/>
        </w:rPr>
        <w:t xml:space="preserve"> </w:t>
      </w:r>
      <w:r w:rsidRPr="002A0275">
        <w:rPr>
          <w:rFonts w:ascii="Arial" w:eastAsia="Times New Roman" w:hAnsi="Arial"/>
          <w:color w:val="auto"/>
          <w:szCs w:val="24"/>
          <w:lang w:val="de-AT" w:eastAsia="de-DE"/>
        </w:rPr>
        <w:t xml:space="preserve">von den Enthüllungen </w:t>
      </w:r>
      <w:r w:rsidRPr="002A0275">
        <w:rPr>
          <w:rStyle w:val="st"/>
          <w:rFonts w:ascii="Arial" w:hAnsi="Arial" w:cs="Arial"/>
          <w:color w:val="222222"/>
        </w:rPr>
        <w:t xml:space="preserve">über das </w:t>
      </w:r>
      <w:r w:rsidRPr="002A0275">
        <w:rPr>
          <w:rStyle w:val="Hervorhebung"/>
          <w:rFonts w:ascii="Arial" w:hAnsi="Arial" w:cs="Arial"/>
          <w:color w:val="222222"/>
        </w:rPr>
        <w:t>NSA</w:t>
      </w:r>
      <w:r w:rsidRPr="002A0275">
        <w:rPr>
          <w:rStyle w:val="st"/>
          <w:rFonts w:ascii="Arial" w:hAnsi="Arial" w:cs="Arial"/>
          <w:b/>
          <w:color w:val="222222"/>
        </w:rPr>
        <w:t>-</w:t>
      </w:r>
      <w:r w:rsidRPr="002A0275">
        <w:rPr>
          <w:rStyle w:val="st"/>
          <w:rFonts w:ascii="Arial" w:hAnsi="Arial" w:cs="Arial"/>
          <w:color w:val="222222"/>
        </w:rPr>
        <w:t xml:space="preserve">Überwachungsprogramm PRISM überschattet. </w:t>
      </w:r>
      <w:r>
        <w:rPr>
          <w:rStyle w:val="st"/>
          <w:rFonts w:ascii="Arial" w:hAnsi="Arial" w:cs="Arial"/>
          <w:color w:val="222222"/>
        </w:rPr>
        <w:t xml:space="preserve">Auch die </w:t>
      </w:r>
      <w:r w:rsidRPr="002A0275">
        <w:rPr>
          <w:rFonts w:ascii="Arial" w:eastAsia="Times New Roman" w:hAnsi="Arial"/>
          <w:color w:val="auto"/>
          <w:szCs w:val="24"/>
          <w:lang w:val="de-AT" w:eastAsia="de-DE"/>
        </w:rPr>
        <w:t xml:space="preserve">EU-Justizkommissarin </w:t>
      </w:r>
      <w:r>
        <w:rPr>
          <w:rFonts w:ascii="Arial" w:eastAsia="Times New Roman" w:hAnsi="Arial"/>
          <w:color w:val="auto"/>
          <w:szCs w:val="24"/>
          <w:lang w:val="de-AT" w:eastAsia="de-DE"/>
        </w:rPr>
        <w:t xml:space="preserve">Viviane </w:t>
      </w:r>
      <w:proofErr w:type="spellStart"/>
      <w:r w:rsidRPr="002A0275">
        <w:rPr>
          <w:rFonts w:ascii="Arial" w:eastAsia="Times New Roman" w:hAnsi="Arial"/>
          <w:color w:val="auto"/>
          <w:szCs w:val="24"/>
          <w:lang w:val="de-AT" w:eastAsia="de-DE"/>
        </w:rPr>
        <w:t>Reding</w:t>
      </w:r>
      <w:proofErr w:type="spellEnd"/>
      <w:r w:rsidRPr="002A0275">
        <w:rPr>
          <w:rFonts w:ascii="Arial" w:eastAsia="Times New Roman" w:hAnsi="Arial"/>
          <w:color w:val="auto"/>
          <w:szCs w:val="24"/>
          <w:lang w:val="de-AT" w:eastAsia="de-DE"/>
        </w:rPr>
        <w:t xml:space="preserve"> betont</w:t>
      </w:r>
      <w:r>
        <w:rPr>
          <w:rFonts w:ascii="Arial" w:eastAsia="Times New Roman" w:hAnsi="Arial"/>
          <w:color w:val="auto"/>
          <w:szCs w:val="24"/>
          <w:lang w:val="de-AT" w:eastAsia="de-DE"/>
        </w:rPr>
        <w:t>e</w:t>
      </w:r>
      <w:r w:rsidRPr="002A0275">
        <w:rPr>
          <w:rFonts w:ascii="Arial" w:eastAsia="Times New Roman" w:hAnsi="Arial"/>
          <w:color w:val="auto"/>
          <w:szCs w:val="24"/>
          <w:lang w:val="de-AT" w:eastAsia="de-DE"/>
        </w:rPr>
        <w:t xml:space="preserve">, dass das transatlantische Freihandelsabkommen ohne gegenseitiges Vertrauen nicht verwirklicht werden könne. </w:t>
      </w:r>
      <w:r>
        <w:rPr>
          <w:rFonts w:ascii="Arial" w:eastAsia="Times New Roman" w:hAnsi="Arial"/>
          <w:szCs w:val="24"/>
          <w:lang w:eastAsia="de-DE"/>
        </w:rPr>
        <w:t>Der Präsident des Europäischen Parlaments Martin Schulz forderte sogar die Aussetzung der Verhandlungen, eine Forderung, die</w:t>
      </w:r>
      <w:r>
        <w:t xml:space="preserve"> beim Europäischen Rat am 25.10. keine Zustimmung der Staats- und Regierungschefs fand, ebenso wenig die </w:t>
      </w:r>
      <w:r>
        <w:rPr>
          <w:rFonts w:ascii="Arial" w:eastAsia="Times New Roman" w:hAnsi="Arial"/>
          <w:szCs w:val="24"/>
          <w:lang w:eastAsia="de-DE"/>
        </w:rPr>
        <w:t>Forderung des EP</w:t>
      </w:r>
      <w:r>
        <w:t>, das Swift-Abkommen</w:t>
      </w:r>
      <w:r>
        <w:rPr>
          <w:rFonts w:ascii="Arial" w:eastAsia="Times New Roman" w:hAnsi="Arial"/>
          <w:szCs w:val="24"/>
          <w:lang w:eastAsia="de-DE"/>
        </w:rPr>
        <w:t>, das den Austausch von Bankdaten mit den USA regelt,</w:t>
      </w:r>
      <w:r>
        <w:t xml:space="preserve"> auszusetzen. </w:t>
      </w:r>
      <w:r w:rsidRPr="002A0275">
        <w:t xml:space="preserve">Das EP hatte </w:t>
      </w:r>
      <w:r>
        <w:t xml:space="preserve">zuvor </w:t>
      </w:r>
      <w:r w:rsidRPr="002A0275">
        <w:t>am 23.10. mit 280 zu 254 Stimmen eine Resolution verabschiedet, die fordert, das Swift-Abkommen mit den USA auszusetzen.</w:t>
      </w:r>
    </w:p>
    <w:p w:rsidR="00FC4E73" w:rsidRDefault="00FC4E73" w:rsidP="00FC4E73">
      <w:pPr>
        <w:spacing w:after="120"/>
        <w:jc w:val="both"/>
        <w:rPr>
          <w:rFonts w:ascii="Arial" w:hAnsi="Arial" w:cs="Arial"/>
          <w:b/>
          <w:color w:val="548DD4" w:themeColor="text2" w:themeTint="99"/>
          <w:sz w:val="24"/>
          <w:szCs w:val="24"/>
          <w:lang w:val="de-DE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lang w:val="de-DE"/>
        </w:rPr>
        <w:t>Wie gestalten sich die transatlantischen Beziehungen zwischen der EU und den USA</w:t>
      </w:r>
      <w:r w:rsidRPr="00705583">
        <w:rPr>
          <w:rFonts w:ascii="Arial" w:hAnsi="Arial" w:cs="Arial"/>
          <w:b/>
          <w:color w:val="548DD4" w:themeColor="text2" w:themeTint="99"/>
          <w:sz w:val="24"/>
          <w:szCs w:val="24"/>
          <w:lang w:val="de-DE"/>
        </w:rPr>
        <w:t>?</w:t>
      </w:r>
    </w:p>
    <w:p w:rsidR="00FC4E73" w:rsidRDefault="00FC4E73" w:rsidP="00FC4E73">
      <w:pPr>
        <w:spacing w:after="120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2A59BD">
        <w:rPr>
          <w:rFonts w:ascii="Arial" w:eastAsia="Times New Roman" w:hAnsi="Arial" w:cs="Times New Roman"/>
          <w:sz w:val="24"/>
          <w:szCs w:val="24"/>
          <w:lang w:eastAsia="de-DE"/>
        </w:rPr>
        <w:t xml:space="preserve">Seit der "Transatlantischen Erklärung" von 1990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finden</w:t>
      </w:r>
      <w:r w:rsidRPr="002A59BD">
        <w:rPr>
          <w:rFonts w:ascii="Arial" w:eastAsia="Times New Roman" w:hAnsi="Arial" w:cs="Times New Roman"/>
          <w:sz w:val="24"/>
          <w:szCs w:val="24"/>
          <w:lang w:eastAsia="de-DE"/>
        </w:rPr>
        <w:t xml:space="preserve"> zwischen der EU und den USA regelmäßige Konsultationen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statt</w:t>
      </w:r>
      <w:r w:rsidRPr="002A59BD">
        <w:rPr>
          <w:rFonts w:ascii="Arial" w:eastAsia="Times New Roman" w:hAnsi="Arial" w:cs="Times New Roman"/>
          <w:sz w:val="24"/>
          <w:szCs w:val="24"/>
          <w:lang w:eastAsia="de-DE"/>
        </w:rPr>
        <w:t>. Dazu gehören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auch</w:t>
      </w:r>
      <w:r w:rsidRPr="002A59BD">
        <w:rPr>
          <w:rFonts w:ascii="Arial" w:eastAsia="Times New Roman" w:hAnsi="Arial" w:cs="Times New Roman"/>
          <w:sz w:val="24"/>
          <w:szCs w:val="24"/>
          <w:lang w:eastAsia="de-DE"/>
        </w:rPr>
        <w:t xml:space="preserve"> jährliche Gipfeltreffen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der</w:t>
      </w:r>
      <w:r w:rsidRPr="002A59BD">
        <w:rPr>
          <w:rFonts w:ascii="Arial" w:eastAsia="Times New Roman" w:hAnsi="Arial" w:cs="Times New Roman"/>
          <w:sz w:val="24"/>
          <w:szCs w:val="24"/>
          <w:lang w:eastAsia="de-DE"/>
        </w:rPr>
        <w:t xml:space="preserve"> politischen Spitzen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der</w:t>
      </w:r>
      <w:r w:rsidRPr="002A59BD">
        <w:rPr>
          <w:rFonts w:ascii="Arial" w:eastAsia="Times New Roman" w:hAnsi="Arial" w:cs="Times New Roman"/>
          <w:sz w:val="24"/>
          <w:szCs w:val="24"/>
          <w:lang w:eastAsia="de-DE"/>
        </w:rPr>
        <w:t xml:space="preserve"> USA und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der EU</w:t>
      </w:r>
      <w:r w:rsidRPr="002A59BD">
        <w:rPr>
          <w:rFonts w:ascii="Arial" w:eastAsia="Times New Roman" w:hAnsi="Arial" w:cs="Times New Roman"/>
          <w:sz w:val="24"/>
          <w:szCs w:val="24"/>
          <w:lang w:eastAsia="de-DE"/>
        </w:rPr>
        <w:t>.</w:t>
      </w:r>
      <w:r w:rsidRPr="00C12DCF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Neben der Zusammenarbeit in Wirtschaftsfragen gibt es eine enge Zusammenarbeit in außenpolitischen Fragen. Schwerpunkte bilden die Zusammenarbeit am Westbalkan und beim Nahost-Friedensprozess, sowie die Bemühungen um </w:t>
      </w:r>
      <w:r w:rsidRPr="002A59BD">
        <w:rPr>
          <w:rFonts w:ascii="Arial" w:eastAsia="Times New Roman" w:hAnsi="Arial" w:cs="Times New Roman"/>
          <w:sz w:val="24"/>
          <w:szCs w:val="24"/>
          <w:lang w:eastAsia="de-DE"/>
        </w:rPr>
        <w:t>Abrüstung und Non-</w:t>
      </w:r>
      <w:proofErr w:type="gramStart"/>
      <w:r w:rsidRPr="002A59BD">
        <w:rPr>
          <w:rFonts w:ascii="Arial" w:eastAsia="Times New Roman" w:hAnsi="Arial" w:cs="Times New Roman"/>
          <w:sz w:val="24"/>
          <w:szCs w:val="24"/>
          <w:lang w:eastAsia="de-DE"/>
        </w:rPr>
        <w:t>Proliferation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,</w:t>
      </w:r>
      <w:proofErr w:type="gramEnd"/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der Schutz der Menschenrechte und die Bewältigung globaler Herausforderungen wie dem Kampf gegen internationalen Terrorismus und organisierte Kriminalität. </w:t>
      </w:r>
    </w:p>
    <w:p w:rsidR="00FC4E73" w:rsidRDefault="00FC4E73" w:rsidP="00FC4E73">
      <w:pPr>
        <w:spacing w:after="120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>Durch die angestrebte</w:t>
      </w:r>
      <w:r w:rsidRPr="002A59BD">
        <w:rPr>
          <w:rFonts w:ascii="Arial" w:eastAsia="Times New Roman" w:hAnsi="Arial" w:cs="Times New Roman"/>
          <w:sz w:val="24"/>
          <w:szCs w:val="24"/>
          <w:lang w:eastAsia="de-DE"/>
        </w:rPr>
        <w:t xml:space="preserve"> Transatlantische Handels- und Investitionspartnerschaft (TTIP) haben die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EU-</w:t>
      </w:r>
      <w:r w:rsidRPr="00293DAC">
        <w:rPr>
          <w:rFonts w:ascii="Arial" w:eastAsia="Times New Roman" w:hAnsi="Arial" w:cs="Times New Roman"/>
          <w:sz w:val="24"/>
          <w:szCs w:val="24"/>
          <w:lang w:eastAsia="de-DE"/>
        </w:rPr>
        <w:t>US-</w:t>
      </w:r>
      <w:r w:rsidRPr="002A59BD">
        <w:rPr>
          <w:rFonts w:ascii="Arial" w:eastAsia="Times New Roman" w:hAnsi="Arial" w:cs="Times New Roman"/>
          <w:sz w:val="24"/>
          <w:szCs w:val="24"/>
          <w:lang w:eastAsia="de-DE"/>
        </w:rPr>
        <w:t>Beziehungen eine neue Dynamik gewonnen. Angesichts der immensen Bedeutung der Verhandlungen, wird es wesentlich sein, faire Lösungen für Handels- und Investitionsfragen zu finden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. Ziel ist es auch</w:t>
      </w:r>
      <w:r w:rsidRPr="002A59BD">
        <w:rPr>
          <w:rFonts w:ascii="Arial" w:eastAsia="Times New Roman" w:hAnsi="Arial" w:cs="Times New Roman"/>
          <w:sz w:val="24"/>
          <w:szCs w:val="24"/>
          <w:lang w:eastAsia="de-DE"/>
        </w:rPr>
        <w:t xml:space="preserve"> einen Beitrag für die Entwicklung weltweiter Handelsregeln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zu </w:t>
      </w:r>
      <w:r w:rsidRPr="002A59BD">
        <w:rPr>
          <w:rFonts w:ascii="Arial" w:eastAsia="Times New Roman" w:hAnsi="Arial" w:cs="Times New Roman"/>
          <w:sz w:val="24"/>
          <w:szCs w:val="24"/>
          <w:lang w:eastAsia="de-DE"/>
        </w:rPr>
        <w:t>leisten. Die Verhandlungen sollten ein klares Signal zugunsten des Freihandels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setzen. Aber</w:t>
      </w:r>
      <w:r w:rsidRPr="002A59BD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auch der</w:t>
      </w:r>
      <w:r w:rsidRPr="002A59BD">
        <w:rPr>
          <w:rFonts w:ascii="Arial" w:eastAsia="Times New Roman" w:hAnsi="Arial" w:cs="Times New Roman"/>
          <w:sz w:val="24"/>
          <w:szCs w:val="24"/>
          <w:lang w:eastAsia="de-DE"/>
        </w:rPr>
        <w:t xml:space="preserve"> Respekt grundlegender arbeitsrechtlicher Normen und nachhaltige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Pr="002A59BD">
        <w:rPr>
          <w:rFonts w:ascii="Arial" w:eastAsia="Times New Roman" w:hAnsi="Arial" w:cs="Times New Roman"/>
          <w:sz w:val="24"/>
          <w:szCs w:val="24"/>
          <w:lang w:eastAsia="de-DE"/>
        </w:rPr>
        <w:t>Entwicklung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Pr="002A59BD">
        <w:rPr>
          <w:rFonts w:ascii="Arial" w:eastAsia="Times New Roman" w:hAnsi="Arial" w:cs="Times New Roman"/>
          <w:sz w:val="24"/>
          <w:szCs w:val="24"/>
          <w:lang w:eastAsia="de-DE"/>
        </w:rPr>
        <w:t xml:space="preserve"> sowie ein Bekenntnis zur Zusammenarbeit gegen illegalen Handel und Korruption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erscheinen als zentrale Verhandlungspunkte</w:t>
      </w:r>
      <w:r w:rsidRPr="002A59BD">
        <w:rPr>
          <w:rFonts w:ascii="Arial" w:eastAsia="Times New Roman" w:hAnsi="Arial" w:cs="Times New Roman"/>
          <w:sz w:val="24"/>
          <w:szCs w:val="24"/>
          <w:lang w:eastAsia="de-DE"/>
        </w:rPr>
        <w:t>.</w:t>
      </w:r>
    </w:p>
    <w:p w:rsidR="00FC4E73" w:rsidRPr="002A0275" w:rsidRDefault="00FC4E73" w:rsidP="00FC4E73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2A0275">
        <w:rPr>
          <w:rFonts w:ascii="Arial" w:hAnsi="Arial" w:cs="Arial"/>
          <w:sz w:val="24"/>
          <w:szCs w:val="24"/>
        </w:rPr>
        <w:t xml:space="preserve">Die wichtigsten Importpartner der EU: China 17,1 % Russland 11,6 % USA 11,1 % Norwegen 5,5 % Schweiz 5,3 % </w:t>
      </w:r>
    </w:p>
    <w:p w:rsidR="00FC4E73" w:rsidRPr="002A0275" w:rsidRDefault="00FC4E73" w:rsidP="00FC4E73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2A0275">
        <w:rPr>
          <w:rFonts w:ascii="Arial" w:hAnsi="Arial" w:cs="Arial"/>
          <w:sz w:val="24"/>
          <w:szCs w:val="24"/>
        </w:rPr>
        <w:t>Die wichtigsten Exportpartner der EU: USA 16,9 % Schweiz 9,0 % China 8,7 % Russland 7,0 % T</w:t>
      </w:r>
      <w:r>
        <w:rPr>
          <w:rFonts w:ascii="Arial" w:hAnsi="Arial" w:cs="Arial"/>
          <w:sz w:val="24"/>
          <w:szCs w:val="24"/>
        </w:rPr>
        <w:t>ü</w:t>
      </w:r>
      <w:r w:rsidRPr="002A0275">
        <w:rPr>
          <w:rFonts w:ascii="Arial" w:hAnsi="Arial" w:cs="Arial"/>
          <w:sz w:val="24"/>
          <w:szCs w:val="24"/>
        </w:rPr>
        <w:t>rkei 4,7 % Quelle: DG Trade (2011)</w:t>
      </w:r>
    </w:p>
    <w:p w:rsidR="00FC4E73" w:rsidRPr="002A0275" w:rsidRDefault="00FC4E73" w:rsidP="00FC4E73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2A0275">
        <w:rPr>
          <w:rFonts w:ascii="Arial" w:hAnsi="Arial" w:cs="Arial"/>
          <w:sz w:val="24"/>
          <w:szCs w:val="24"/>
        </w:rPr>
        <w:t xml:space="preserve">Die wichtigsten Importpartner Osterreichs: Deutschland 38,2 % Italien 6,5 % Schweiz 5,4 % China 4,9 % </w:t>
      </w:r>
      <w:proofErr w:type="spellStart"/>
      <w:r w:rsidRPr="002A0275">
        <w:rPr>
          <w:rFonts w:ascii="Arial" w:hAnsi="Arial" w:cs="Arial"/>
          <w:sz w:val="24"/>
          <w:szCs w:val="24"/>
        </w:rPr>
        <w:t>Tschech.Rep</w:t>
      </w:r>
      <w:proofErr w:type="spellEnd"/>
      <w:r w:rsidRPr="002A0275">
        <w:rPr>
          <w:rFonts w:ascii="Arial" w:hAnsi="Arial" w:cs="Arial"/>
          <w:sz w:val="24"/>
          <w:szCs w:val="24"/>
        </w:rPr>
        <w:t xml:space="preserve">. 3,7 % USA 2,9 % </w:t>
      </w:r>
    </w:p>
    <w:p w:rsidR="00411240" w:rsidRPr="008E2A16" w:rsidRDefault="00FC4E73" w:rsidP="00411240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2A0275">
        <w:rPr>
          <w:rFonts w:ascii="Arial" w:hAnsi="Arial" w:cs="Arial"/>
          <w:sz w:val="24"/>
          <w:szCs w:val="24"/>
        </w:rPr>
        <w:t xml:space="preserve">Die wichtigsten Exportpartner Osterreichs: Deutschland 31,1 % Italien 7,6 % USA 5,2 % Schweiz 4,9 % Frankreich 4,1 % </w:t>
      </w:r>
      <w:r w:rsidR="008E2A16">
        <w:rPr>
          <w:rFonts w:ascii="Arial" w:hAnsi="Arial" w:cs="Arial"/>
          <w:sz w:val="24"/>
          <w:szCs w:val="24"/>
        </w:rPr>
        <w:t>(</w:t>
      </w:r>
      <w:r w:rsidRPr="002A0275">
        <w:rPr>
          <w:rFonts w:ascii="Arial" w:hAnsi="Arial" w:cs="Arial"/>
          <w:sz w:val="24"/>
          <w:szCs w:val="24"/>
        </w:rPr>
        <w:t>Quelle: WKO Statistik</w:t>
      </w:r>
      <w:r w:rsidR="008E2A16">
        <w:rPr>
          <w:rFonts w:ascii="Arial" w:hAnsi="Arial" w:cs="Arial"/>
          <w:sz w:val="24"/>
          <w:szCs w:val="24"/>
        </w:rPr>
        <w:t>)</w:t>
      </w:r>
    </w:p>
    <w:sectPr w:rsidR="00411240" w:rsidRPr="008E2A16" w:rsidSect="002249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60" w:rsidRDefault="00EF0560" w:rsidP="008E2A16">
      <w:pPr>
        <w:spacing w:after="0"/>
      </w:pPr>
      <w:r>
        <w:separator/>
      </w:r>
    </w:p>
  </w:endnote>
  <w:endnote w:type="continuationSeparator" w:id="0">
    <w:p w:rsidR="00EF0560" w:rsidRDefault="00EF0560" w:rsidP="008E2A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8B" w:rsidRDefault="000C218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8B" w:rsidRDefault="000C218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8B" w:rsidRDefault="000C21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60" w:rsidRDefault="00EF0560" w:rsidP="008E2A16">
      <w:pPr>
        <w:spacing w:after="0"/>
      </w:pPr>
      <w:r>
        <w:separator/>
      </w:r>
    </w:p>
  </w:footnote>
  <w:footnote w:type="continuationSeparator" w:id="0">
    <w:p w:rsidR="00EF0560" w:rsidRDefault="00EF0560" w:rsidP="008E2A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8B" w:rsidRDefault="000C218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9CE" w:rsidRPr="00E60B97" w:rsidRDefault="00972BF3" w:rsidP="002249CE">
    <w:pPr>
      <w:tabs>
        <w:tab w:val="left" w:pos="8070"/>
      </w:tabs>
      <w:autoSpaceDE w:val="0"/>
      <w:autoSpaceDN w:val="0"/>
      <w:adjustRightInd w:val="0"/>
      <w:spacing w:after="120"/>
      <w:rPr>
        <w:rFonts w:ascii="Arial" w:hAnsi="Arial" w:cs="Arial"/>
        <w:b/>
        <w:bCs/>
        <w:i/>
        <w:iCs/>
        <w:color w:val="17365D" w:themeColor="text2" w:themeShade="BF"/>
        <w:sz w:val="20"/>
        <w:szCs w:val="24"/>
        <w:lang w:eastAsia="zh-TW"/>
      </w:rPr>
    </w:pPr>
    <w:r w:rsidRPr="00E60B97">
      <w:rPr>
        <w:rFonts w:ascii="Arial" w:hAnsi="Arial" w:cs="Arial"/>
        <w:b/>
        <w:bCs/>
        <w:i/>
        <w:iCs/>
        <w:color w:val="17365D" w:themeColor="text2" w:themeShade="BF"/>
        <w:sz w:val="20"/>
        <w:szCs w:val="24"/>
        <w:lang w:eastAsia="zh-TW"/>
      </w:rPr>
      <w:t xml:space="preserve">Ein Service des </w:t>
    </w:r>
    <w:r w:rsidRPr="00E60B97">
      <w:rPr>
        <w:rFonts w:ascii="Arial" w:hAnsi="Arial" w:cs="Arial"/>
        <w:b/>
        <w:bCs/>
        <w:i/>
        <w:iCs/>
        <w:color w:val="17365D" w:themeColor="text2" w:themeShade="BF"/>
        <w:sz w:val="20"/>
        <w:szCs w:val="24"/>
        <w:lang w:eastAsia="zh-TW"/>
      </w:rPr>
      <w:t>BM</w:t>
    </w:r>
    <w:r w:rsidR="000C218B">
      <w:rPr>
        <w:rFonts w:ascii="Arial" w:hAnsi="Arial" w:cs="Arial"/>
        <w:b/>
        <w:bCs/>
        <w:i/>
        <w:iCs/>
        <w:color w:val="17365D" w:themeColor="text2" w:themeShade="BF"/>
        <w:sz w:val="20"/>
        <w:szCs w:val="24"/>
        <w:lang w:eastAsia="zh-TW"/>
      </w:rPr>
      <w:t>EI</w:t>
    </w:r>
    <w:bookmarkStart w:id="0" w:name="_GoBack"/>
    <w:bookmarkEnd w:id="0"/>
    <w:r w:rsidRPr="00E60B97">
      <w:rPr>
        <w:rFonts w:ascii="Arial" w:hAnsi="Arial" w:cs="Arial"/>
        <w:b/>
        <w:bCs/>
        <w:i/>
        <w:iCs/>
        <w:color w:val="17365D" w:themeColor="text2" w:themeShade="BF"/>
        <w:sz w:val="20"/>
        <w:szCs w:val="24"/>
        <w:lang w:eastAsia="zh-TW"/>
      </w:rPr>
      <w:t>A für EU-</w:t>
    </w:r>
    <w:proofErr w:type="spellStart"/>
    <w:r w:rsidRPr="00E60B97">
      <w:rPr>
        <w:rFonts w:ascii="Arial" w:hAnsi="Arial" w:cs="Arial"/>
        <w:b/>
        <w:bCs/>
        <w:i/>
        <w:iCs/>
        <w:color w:val="17365D" w:themeColor="text2" w:themeShade="BF"/>
        <w:sz w:val="20"/>
        <w:szCs w:val="24"/>
        <w:lang w:eastAsia="zh-TW"/>
      </w:rPr>
      <w:t>GemeinderätInnen</w:t>
    </w:r>
    <w:proofErr w:type="spellEnd"/>
    <w:r w:rsidRPr="00E60B97">
      <w:rPr>
        <w:rFonts w:ascii="Arial" w:hAnsi="Arial" w:cs="Arial"/>
        <w:b/>
        <w:bCs/>
        <w:i/>
        <w:iCs/>
        <w:color w:val="17365D" w:themeColor="text2" w:themeShade="BF"/>
        <w:sz w:val="20"/>
        <w:szCs w:val="24"/>
        <w:lang w:eastAsia="zh-TW"/>
      </w:rPr>
      <w:tab/>
    </w:r>
  </w:p>
  <w:p w:rsidR="002249CE" w:rsidRPr="00C56470" w:rsidRDefault="00CC68CF" w:rsidP="002249CE">
    <w:pPr>
      <w:pStyle w:val="Kopfzeile"/>
      <w:rPr>
        <w:rFonts w:ascii="Arial" w:hAnsi="Arial" w:cs="Arial"/>
        <w:b/>
        <w:bCs/>
        <w:i/>
        <w:iCs/>
        <w:color w:val="17365D" w:themeColor="text2" w:themeShade="BF"/>
        <w:sz w:val="20"/>
        <w:szCs w:val="24"/>
        <w:lang w:eastAsia="zh-TW"/>
      </w:rPr>
    </w:pPr>
    <w:r>
      <w:rPr>
        <w:rFonts w:ascii="Arial" w:hAnsi="Arial" w:cs="Arial"/>
        <w:b/>
        <w:bCs/>
        <w:i/>
        <w:iCs/>
        <w:color w:val="17365D" w:themeColor="text2" w:themeShade="BF"/>
        <w:sz w:val="20"/>
        <w:szCs w:val="24"/>
        <w:lang w:eastAsia="zh-TW"/>
      </w:rPr>
      <w:t>März</w:t>
    </w:r>
    <w:r w:rsidR="00972BF3">
      <w:rPr>
        <w:rFonts w:ascii="Arial" w:hAnsi="Arial" w:cs="Arial"/>
        <w:b/>
        <w:bCs/>
        <w:i/>
        <w:iCs/>
        <w:color w:val="17365D" w:themeColor="text2" w:themeShade="BF"/>
        <w:sz w:val="20"/>
        <w:szCs w:val="24"/>
        <w:lang w:eastAsia="zh-TW"/>
      </w:rPr>
      <w:t xml:space="preserve"> </w:t>
    </w:r>
    <w:r>
      <w:rPr>
        <w:rFonts w:ascii="Arial" w:hAnsi="Arial" w:cs="Arial"/>
        <w:b/>
        <w:bCs/>
        <w:i/>
        <w:iCs/>
        <w:color w:val="17365D" w:themeColor="text2" w:themeShade="BF"/>
        <w:sz w:val="20"/>
        <w:szCs w:val="24"/>
        <w:lang w:eastAsia="zh-TW"/>
      </w:rPr>
      <w:t>2014</w:t>
    </w:r>
    <w:r w:rsidR="00972BF3" w:rsidRPr="00E60B97">
      <w:rPr>
        <w:noProof/>
        <w:color w:val="000000"/>
        <w:sz w:val="16"/>
        <w:szCs w:val="20"/>
        <w:lang w:eastAsia="de-AT"/>
      </w:rPr>
      <w:t xml:space="preserve"> </w:t>
    </w:r>
    <w:r w:rsidR="00972BF3" w:rsidRPr="00E60B97">
      <w:rPr>
        <w:noProof/>
        <w:color w:val="000000"/>
        <w:sz w:val="16"/>
        <w:szCs w:val="20"/>
        <w:lang w:eastAsia="de-AT"/>
      </w:rPr>
      <w:drawing>
        <wp:anchor distT="0" distB="0" distL="114300" distR="114300" simplePos="0" relativeHeight="251659264" behindDoc="0" locked="0" layoutInCell="1" allowOverlap="1" wp14:anchorId="44E7A09D" wp14:editId="050970D8">
          <wp:simplePos x="0" y="0"/>
          <wp:positionH relativeFrom="column">
            <wp:posOffset>4459605</wp:posOffset>
          </wp:positionH>
          <wp:positionV relativeFrom="paragraph">
            <wp:posOffset>-380365</wp:posOffset>
          </wp:positionV>
          <wp:extent cx="2019600" cy="648000"/>
          <wp:effectExtent l="0" t="0" r="0" b="0"/>
          <wp:wrapNone/>
          <wp:docPr id="3" name="Grafik 3" descr="Beschreibung: Beschreibung: Beschreibung: Beschreibung: Beschreibung: Beschreibung: cid:image001.jpg@01CCF872.BB9D9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Beschreibung: Beschreibung: Beschreibung: Beschreibung: Beschreibung: cid:image001.jpg@01CCF872.BB9D9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18B" w:rsidRDefault="000C218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630E4"/>
    <w:multiLevelType w:val="hybridMultilevel"/>
    <w:tmpl w:val="9664E4C2"/>
    <w:lvl w:ilvl="0" w:tplc="B5DC6F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D696A"/>
    <w:multiLevelType w:val="hybridMultilevel"/>
    <w:tmpl w:val="86201F28"/>
    <w:lvl w:ilvl="0" w:tplc="B5DC6F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73"/>
    <w:rsid w:val="00034CAB"/>
    <w:rsid w:val="00062DD9"/>
    <w:rsid w:val="000A4A54"/>
    <w:rsid w:val="000C218B"/>
    <w:rsid w:val="00134456"/>
    <w:rsid w:val="00140DF7"/>
    <w:rsid w:val="002B404A"/>
    <w:rsid w:val="0038691E"/>
    <w:rsid w:val="003C4DF8"/>
    <w:rsid w:val="00411240"/>
    <w:rsid w:val="00520D85"/>
    <w:rsid w:val="006C1B36"/>
    <w:rsid w:val="006F1CD0"/>
    <w:rsid w:val="007419EB"/>
    <w:rsid w:val="0077477E"/>
    <w:rsid w:val="008E2A16"/>
    <w:rsid w:val="00972BF3"/>
    <w:rsid w:val="009E5A7C"/>
    <w:rsid w:val="00B11421"/>
    <w:rsid w:val="00CC68CF"/>
    <w:rsid w:val="00D23807"/>
    <w:rsid w:val="00E52B2D"/>
    <w:rsid w:val="00EF0560"/>
    <w:rsid w:val="00F43083"/>
    <w:rsid w:val="00FC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4E73"/>
  </w:style>
  <w:style w:type="paragraph" w:styleId="berschrift1">
    <w:name w:val="heading 1"/>
    <w:basedOn w:val="Standard"/>
    <w:next w:val="Standard"/>
    <w:link w:val="berschrift1Zchn"/>
    <w:uiPriority w:val="9"/>
    <w:qFormat/>
    <w:rsid w:val="00411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1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FC4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C4E73"/>
  </w:style>
  <w:style w:type="paragraph" w:customStyle="1" w:styleId="FreieForm">
    <w:name w:val="Freie Form"/>
    <w:rsid w:val="00FC4E73"/>
    <w:pPr>
      <w:spacing w:after="0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FC4E73"/>
    <w:rPr>
      <w:vertAlign w:val="superscript"/>
    </w:rPr>
  </w:style>
  <w:style w:type="paragraph" w:customStyle="1" w:styleId="Default">
    <w:name w:val="Default"/>
    <w:rsid w:val="00FC4E73"/>
    <w:pPr>
      <w:autoSpaceDE w:val="0"/>
      <w:autoSpaceDN w:val="0"/>
      <w:adjustRightInd w:val="0"/>
      <w:spacing w:after="0"/>
    </w:pPr>
    <w:rPr>
      <w:rFonts w:ascii="Trebuchet MS" w:hAnsi="Trebuchet MS" w:cs="Trebuchet MS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FC4E73"/>
    <w:rPr>
      <w:b/>
      <w:bCs/>
      <w:i w:val="0"/>
      <w:iCs w:val="0"/>
    </w:rPr>
  </w:style>
  <w:style w:type="character" w:customStyle="1" w:styleId="st">
    <w:name w:val="st"/>
    <w:basedOn w:val="Absatz-Standardschriftart"/>
    <w:rsid w:val="00FC4E73"/>
  </w:style>
  <w:style w:type="paragraph" w:styleId="Listenabsatz">
    <w:name w:val="List Paragraph"/>
    <w:basedOn w:val="Standard"/>
    <w:uiPriority w:val="34"/>
    <w:qFormat/>
    <w:rsid w:val="00FC4E7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C4E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4E7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4E73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E2A1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E2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4E73"/>
  </w:style>
  <w:style w:type="paragraph" w:styleId="berschrift1">
    <w:name w:val="heading 1"/>
    <w:basedOn w:val="Standard"/>
    <w:next w:val="Standard"/>
    <w:link w:val="berschrift1Zchn"/>
    <w:uiPriority w:val="9"/>
    <w:qFormat/>
    <w:rsid w:val="00411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1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FC4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C4E73"/>
  </w:style>
  <w:style w:type="paragraph" w:customStyle="1" w:styleId="FreieForm">
    <w:name w:val="Freie Form"/>
    <w:rsid w:val="00FC4E73"/>
    <w:pPr>
      <w:spacing w:after="0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FC4E73"/>
    <w:rPr>
      <w:vertAlign w:val="superscript"/>
    </w:rPr>
  </w:style>
  <w:style w:type="paragraph" w:customStyle="1" w:styleId="Default">
    <w:name w:val="Default"/>
    <w:rsid w:val="00FC4E73"/>
    <w:pPr>
      <w:autoSpaceDE w:val="0"/>
      <w:autoSpaceDN w:val="0"/>
      <w:adjustRightInd w:val="0"/>
      <w:spacing w:after="0"/>
    </w:pPr>
    <w:rPr>
      <w:rFonts w:ascii="Trebuchet MS" w:hAnsi="Trebuchet MS" w:cs="Trebuchet MS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FC4E73"/>
    <w:rPr>
      <w:b/>
      <w:bCs/>
      <w:i w:val="0"/>
      <w:iCs w:val="0"/>
    </w:rPr>
  </w:style>
  <w:style w:type="character" w:customStyle="1" w:styleId="st">
    <w:name w:val="st"/>
    <w:basedOn w:val="Absatz-Standardschriftart"/>
    <w:rsid w:val="00FC4E73"/>
  </w:style>
  <w:style w:type="paragraph" w:styleId="Listenabsatz">
    <w:name w:val="List Paragraph"/>
    <w:basedOn w:val="Standard"/>
    <w:uiPriority w:val="34"/>
    <w:qFormat/>
    <w:rsid w:val="00FC4E7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C4E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4E7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4E73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E2A1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E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F23C.B1D02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II.4. EU-Gemeinderäteinformation Freihandelsabkommen EU-USA aktualisiert"/>
    <f:field ref="objsubject" par="" edit="true" text=""/>
    <f:field ref="objcreatedby" par="" text="Griesebner, Roswitha"/>
    <f:field ref="objcreatedat" par="" text="28.03.2014 15:40:53"/>
    <f:field ref="objchangedby" par="" text="Weinmann, Rupert, Mag."/>
    <f:field ref="objmodifiedat" par="" text="04.04.2014 17:20:15"/>
    <f:field ref="doc_FSCFOLIO_1_1001_FieldDocumentNumber" par="" text=""/>
    <f:field ref="doc_FSCFOLIO_1_1001_FieldSubject" par="" edit="true" text=""/>
    <f:field ref="FSCFOLIO_1_1001_FieldCurrentUser" par="" text="Gerrit Seidl, MA"/>
    <f:field ref="CCAPRECONFIG_15_1001_Objektname" par="" edit="true" text="VII.4. EU-Gemeinderäteinformation Freihandelsabkommen EU-USA aktualisiert"/>
    <f:field ref="EIBVFGH_15_1700_FieldPartPlaintiffList" par="" text=""/>
    <f:field ref="EIBVFGH_15_1700_FieldGoesOutToList" par="" text=""/>
  </f:record>
  <f:display par="" text="...">
    <f:field ref="FSCFOLIO_1_1001_FieldCurrentUser" text="Aktueller Benutzer"/>
    <f:field ref="objsubject" text="Anmerkungen"/>
    <f:field ref="EIBVFGH_15_1700_FieldGoesOutToList" text="Ergeht an Liste"/>
    <f:field ref="objcreatedat" text="Erzeugt am/um"/>
    <f:field ref="objcreatedby" text="Erzeugt von"/>
    <f:field ref="objmodifiedat" text="Letzte Änderung am/um"/>
    <f:field ref="objchangedby" text="Letzte Änderung von"/>
    <f:field ref="EIBVFGH_15_1700_FieldPartPlaintiffList" text="Liste der Antragsteller"/>
    <f:field ref="objname" text="Name"/>
    <f:field ref="CCA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6F9B861.dotm</Template>
  <TotalTime>0</TotalTime>
  <Pages>1</Pages>
  <Words>1697</Words>
  <Characters>10692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Aussenministerium</Company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wolfgang.renezeder</dc:creator>
  <cp:keywords/>
  <dc:description/>
  <cp:lastModifiedBy>rupert.weinmann</cp:lastModifiedBy>
  <cp:revision>4</cp:revision>
  <cp:lastPrinted>2014-03-27T10:03:00Z</cp:lastPrinted>
  <dcterms:created xsi:type="dcterms:W3CDTF">2014-03-28T13:30:00Z</dcterms:created>
  <dcterms:modified xsi:type="dcterms:W3CDTF">2014-04-04T15:19:00Z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IBPRECONFIG@1.1001:EIBInternalApprovedAt" pid="2" fmtid="{D5CDD505-2E9C-101B-9397-08002B2CF9AE}">
    <vt:lpwstr/>
  </property>
  <property name="FSC#EIBPRECONFIG@1.1001:EIBInternalApprovedBy" pid="3" fmtid="{D5CDD505-2E9C-101B-9397-08002B2CF9AE}">
    <vt:lpwstr/>
  </property>
  <property name="FSC#EIBPRECONFIG@1.1001:EIBInternalApprovedByPostTitle" pid="4" fmtid="{D5CDD505-2E9C-101B-9397-08002B2CF9AE}">
    <vt:lpwstr/>
  </property>
  <property name="FSC#EIBPRECONFIG@1.1001:EIBSettlementApprovedBy" pid="5" fmtid="{D5CDD505-2E9C-101B-9397-08002B2CF9AE}">
    <vt:lpwstr/>
  </property>
  <property name="FSC#EIBPRECONFIG@1.1001:EIBSettlementApprovedByPostTitle" pid="6" fmtid="{D5CDD505-2E9C-101B-9397-08002B2CF9AE}">
    <vt:lpwstr/>
  </property>
  <property name="FSC#EIBPRECONFIG@1.1001:EIBApprovedAt" pid="7" fmtid="{D5CDD505-2E9C-101B-9397-08002B2CF9AE}">
    <vt:lpwstr/>
  </property>
  <property name="FSC#EIBPRECONFIG@1.1001:EIBApprovedBy" pid="8" fmtid="{D5CDD505-2E9C-101B-9397-08002B2CF9AE}">
    <vt:lpwstr/>
  </property>
  <property name="FSC#EIBPRECONFIG@1.1001:EIBApprovedBySubst" pid="9" fmtid="{D5CDD505-2E9C-101B-9397-08002B2CF9AE}">
    <vt:lpwstr/>
  </property>
  <property name="FSC#EIBPRECONFIG@1.1001:EIBApprovedByTitle" pid="10" fmtid="{D5CDD505-2E9C-101B-9397-08002B2CF9AE}">
    <vt:lpwstr/>
  </property>
  <property name="FSC#EIBPRECONFIG@1.1001:EIBApprovedByPostTitle" pid="11" fmtid="{D5CDD505-2E9C-101B-9397-08002B2CF9AE}">
    <vt:lpwstr/>
  </property>
  <property name="FSC#EIBPRECONFIG@1.1001:EIBDepartment" pid="12" fmtid="{D5CDD505-2E9C-101B-9397-08002B2CF9AE}">
    <vt:lpwstr>BMEIA - III (Sektion)</vt:lpwstr>
  </property>
  <property name="FSC#EIBPRECONFIG@1.1001:EIBDispatchedBy" pid="13" fmtid="{D5CDD505-2E9C-101B-9397-08002B2CF9AE}">
    <vt:lpwstr/>
  </property>
  <property name="FSC#EIBPRECONFIG@1.1001:EIBDispatchedByPostTitle" pid="14" fmtid="{D5CDD505-2E9C-101B-9397-08002B2CF9AE}">
    <vt:lpwstr/>
  </property>
  <property name="FSC#EIBPRECONFIG@1.1001:ExtRefInc" pid="15" fmtid="{D5CDD505-2E9C-101B-9397-08002B2CF9AE}">
    <vt:lpwstr/>
  </property>
  <property name="FSC#EIBPRECONFIG@1.1001:IncomingAddrdate" pid="16" fmtid="{D5CDD505-2E9C-101B-9397-08002B2CF9AE}">
    <vt:lpwstr/>
  </property>
  <property name="FSC#EIBPRECONFIG@1.1001:IncomingDelivery" pid="17" fmtid="{D5CDD505-2E9C-101B-9397-08002B2CF9AE}">
    <vt:lpwstr/>
  </property>
  <property name="FSC#EIBPRECONFIG@1.1001:OwnerEmail" pid="18" fmtid="{D5CDD505-2E9C-101B-9397-08002B2CF9AE}">
    <vt:lpwstr>roswitha.griesebner@bmeia.gv.at</vt:lpwstr>
  </property>
  <property name="FSC#EIBPRECONFIG@1.1001:OUEmail" pid="19" fmtid="{D5CDD505-2E9C-101B-9397-08002B2CF9AE}">
    <vt:lpwstr>sektioniii@bmeia.gv.at</vt:lpwstr>
  </property>
  <property name="FSC#EIBPRECONFIG@1.1001:OwnerGender" pid="20" fmtid="{D5CDD505-2E9C-101B-9397-08002B2CF9AE}">
    <vt:lpwstr/>
  </property>
  <property name="FSC#EIBPRECONFIG@1.1001:Priority" pid="21" fmtid="{D5CDD505-2E9C-101B-9397-08002B2CF9AE}">
    <vt:lpwstr>Nein</vt:lpwstr>
  </property>
  <property name="FSC#EIBPRECONFIG@1.1001:PreviousFiles" pid="22" fmtid="{D5CDD505-2E9C-101B-9397-08002B2CF9AE}">
    <vt:lpwstr/>
  </property>
  <property name="FSC#EIBPRECONFIG@1.1001:NextFiles" pid="23" fmtid="{D5CDD505-2E9C-101B-9397-08002B2CF9AE}">
    <vt:lpwstr/>
  </property>
  <property name="FSC#EIBPRECONFIG@1.1001:RelatedFiles" pid="24" fmtid="{D5CDD505-2E9C-101B-9397-08002B2CF9AE}">
    <vt:lpwstr/>
  </property>
  <property name="FSC#EIBPRECONFIG@1.1001:CompletedOrdinals" pid="25" fmtid="{D5CDD505-2E9C-101B-9397-08002B2CF9AE}">
    <vt:lpwstr/>
  </property>
  <property name="FSC#EIBPRECONFIG@1.1001:NrAttachments" pid="26" fmtid="{D5CDD505-2E9C-101B-9397-08002B2CF9AE}">
    <vt:lpwstr/>
  </property>
  <property name="FSC#EIBPRECONFIG@1.1001:Attachments" pid="27" fmtid="{D5CDD505-2E9C-101B-9397-08002B2CF9AE}">
    <vt:lpwstr/>
  </property>
  <property name="FSC#EIBPRECONFIG@1.1001:SubjectArea" pid="28" fmtid="{D5CDD505-2E9C-101B-9397-08002B2CF9AE}">
    <vt:lpwstr/>
  </property>
  <property name="FSC#EIBPRECONFIG@1.1001:Recipients" pid="29" fmtid="{D5CDD505-2E9C-101B-9397-08002B2CF9AE}">
    <vt:lpwstr/>
  </property>
  <property name="FSC#EIBPRECONFIG@1.1001:Classified" pid="30" fmtid="{D5CDD505-2E9C-101B-9397-08002B2CF9AE}">
    <vt:lpwstr/>
  </property>
  <property name="FSC#EIBPRECONFIG@1.1001:Deadline" pid="31" fmtid="{D5CDD505-2E9C-101B-9397-08002B2CF9AE}">
    <vt:lpwstr/>
  </property>
  <property name="FSC#EIBPRECONFIG@1.1001:SettlementSubj" pid="32" fmtid="{D5CDD505-2E9C-101B-9397-08002B2CF9AE}">
    <vt:lpwstr>BMEIA-EU.3.13.04/0016-III.1/2014</vt:lpwstr>
  </property>
  <property name="FSC#EIBPRECONFIG@1.1001:OUAddr" pid="33" fmtid="{D5CDD505-2E9C-101B-9397-08002B2CF9AE}">
    <vt:lpwstr> ,  </vt:lpwstr>
  </property>
  <property name="FSC#EIBPRECONFIG@1.1001:OUDescr" pid="34" fmtid="{D5CDD505-2E9C-101B-9397-08002B2CF9AE}">
    <vt:lpwstr/>
  </property>
  <property name="FSC#EIBPRECONFIG@1.1001:Signatures" pid="35" fmtid="{D5CDD505-2E9C-101B-9397-08002B2CF9AE}">
    <vt:lpwstr/>
  </property>
  <property name="FSC#EIBPRECONFIG@1.1001:currentuser" pid="36" fmtid="{D5CDD505-2E9C-101B-9397-08002B2CF9AE}">
    <vt:lpwstr>COO.3000.100.1.519326</vt:lpwstr>
  </property>
  <property name="FSC#EIBPRECONFIG@1.1001:currentuserrolegroup" pid="37" fmtid="{D5CDD505-2E9C-101B-9397-08002B2CF9AE}">
    <vt:lpwstr>COO.3000.100.1.147089</vt:lpwstr>
  </property>
  <property name="FSC#EIBPRECONFIG@1.1001:currentuserroleposition" pid="38" fmtid="{D5CDD505-2E9C-101B-9397-08002B2CF9AE}">
    <vt:lpwstr>COO.1.1001.1.4328</vt:lpwstr>
  </property>
  <property name="FSC#EIBPRECONFIG@1.1001:currentuserroot" pid="39" fmtid="{D5CDD505-2E9C-101B-9397-08002B2CF9AE}">
    <vt:lpwstr>COO.3000.112.11.668836</vt:lpwstr>
  </property>
  <property name="FSC#EIBPRECONFIG@1.1001:toplevelobject" pid="40" fmtid="{D5CDD505-2E9C-101B-9397-08002B2CF9AE}">
    <vt:lpwstr>COO.3000.112.16.3330238</vt:lpwstr>
  </property>
  <property name="FSC#EIBPRECONFIG@1.1001:objchangedby" pid="41" fmtid="{D5CDD505-2E9C-101B-9397-08002B2CF9AE}">
    <vt:lpwstr>Mag. Rupert Weinmann</vt:lpwstr>
  </property>
  <property name="FSC#EIBPRECONFIG@1.1001:objchangedbyPostTitle" pid="42" fmtid="{D5CDD505-2E9C-101B-9397-08002B2CF9AE}">
    <vt:lpwstr/>
  </property>
  <property name="FSC#EIBPRECONFIG@1.1001:objchangedat" pid="43" fmtid="{D5CDD505-2E9C-101B-9397-08002B2CF9AE}">
    <vt:lpwstr>04.04.2014</vt:lpwstr>
  </property>
  <property name="FSC#EIBPRECONFIG@1.1001:objname" pid="44" fmtid="{D5CDD505-2E9C-101B-9397-08002B2CF9AE}">
    <vt:lpwstr>VII.4. EU-Gemeinderäteinformation Freihandelsabkommen EU-USA aktualisiert</vt:lpwstr>
  </property>
  <property name="FSC#EIBPRECONFIG@1.1001:EIBProcessResponsiblePhone" pid="45" fmtid="{D5CDD505-2E9C-101B-9397-08002B2CF9AE}">
    <vt:lpwstr>3923</vt:lpwstr>
  </property>
  <property name="FSC#EIBPRECONFIG@1.1001:EIBProcessResponsibleMail" pid="46" fmtid="{D5CDD505-2E9C-101B-9397-08002B2CF9AE}">
    <vt:lpwstr>rupert.weinmann@bmeia.gv.at</vt:lpwstr>
  </property>
  <property name="FSC#EIBPRECONFIG@1.1001:EIBProcessResponsibleFax" pid="47" fmtid="{D5CDD505-2E9C-101B-9397-08002B2CF9AE}">
    <vt:lpwstr>3923</vt:lpwstr>
  </property>
  <property name="FSC#EIBPRECONFIG@1.1001:EIBProcessResponsiblePostTitle" pid="48" fmtid="{D5CDD505-2E9C-101B-9397-08002B2CF9AE}">
    <vt:lpwstr/>
  </property>
  <property name="FSC#EIBPRECONFIG@1.1001:EIBProcessResponsible" pid="49" fmtid="{D5CDD505-2E9C-101B-9397-08002B2CF9AE}">
    <vt:lpwstr>Mag. Rupert Weinmann</vt:lpwstr>
  </property>
  <property name="FSC#EIBPRECONFIG@1.1001:OwnerPostTitle" pid="50" fmtid="{D5CDD505-2E9C-101B-9397-08002B2CF9AE}">
    <vt:lpwstr/>
  </property>
  <property name="FSC#COOELAK@1.1001:Subject" pid="51" fmtid="{D5CDD505-2E9C-101B-9397-08002B2CF9AE}">
    <vt:lpwstr>EU-Gemeinderätetagung, Salzburg, 11. 4. 2014, Toolkit_x000d__x000a_</vt:lpwstr>
  </property>
  <property name="FSC#COOELAK@1.1001:FileReference" pid="52" fmtid="{D5CDD505-2E9C-101B-9397-08002B2CF9AE}">
    <vt:lpwstr>BMEIA-EU.3.13.04/0016-III.1/2014</vt:lpwstr>
  </property>
  <property name="FSC#COOELAK@1.1001:FileRefYear" pid="53" fmtid="{D5CDD505-2E9C-101B-9397-08002B2CF9AE}">
    <vt:lpwstr>2014</vt:lpwstr>
  </property>
  <property name="FSC#COOELAK@1.1001:FileRefOrdinal" pid="54" fmtid="{D5CDD505-2E9C-101B-9397-08002B2CF9AE}">
    <vt:lpwstr>16</vt:lpwstr>
  </property>
  <property name="FSC#COOELAK@1.1001:FileRefOU" pid="55" fmtid="{D5CDD505-2E9C-101B-9397-08002B2CF9AE}">
    <vt:lpwstr>III.1</vt:lpwstr>
  </property>
  <property name="FSC#COOELAK@1.1001:Organization" pid="56" fmtid="{D5CDD505-2E9C-101B-9397-08002B2CF9AE}">
    <vt:lpwstr/>
  </property>
  <property name="FSC#COOELAK@1.1001:Owner" pid="57" fmtid="{D5CDD505-2E9C-101B-9397-08002B2CF9AE}">
    <vt:lpwstr>Roswitha Griesebner</vt:lpwstr>
  </property>
  <property name="FSC#COOELAK@1.1001:OwnerExtension" pid="58" fmtid="{D5CDD505-2E9C-101B-9397-08002B2CF9AE}">
    <vt:lpwstr>3784</vt:lpwstr>
  </property>
  <property name="FSC#COOELAK@1.1001:OwnerFaxExtension" pid="59" fmtid="{D5CDD505-2E9C-101B-9397-08002B2CF9AE}">
    <vt:lpwstr>3784</vt:lpwstr>
  </property>
  <property name="FSC#COOELAK@1.1001:DispatchedBy" pid="60" fmtid="{D5CDD505-2E9C-101B-9397-08002B2CF9AE}">
    <vt:lpwstr/>
  </property>
  <property name="FSC#COOELAK@1.1001:DispatchedAt" pid="61" fmtid="{D5CDD505-2E9C-101B-9397-08002B2CF9AE}">
    <vt:lpwstr/>
  </property>
  <property name="FSC#COOELAK@1.1001:ApprovedBy" pid="62" fmtid="{D5CDD505-2E9C-101B-9397-08002B2CF9AE}">
    <vt:lpwstr/>
  </property>
  <property name="FSC#COOELAK@1.1001:ApprovedAt" pid="63" fmtid="{D5CDD505-2E9C-101B-9397-08002B2CF9AE}">
    <vt:lpwstr/>
  </property>
  <property name="FSC#COOELAK@1.1001:Department" pid="64" fmtid="{D5CDD505-2E9C-101B-9397-08002B2CF9AE}">
    <vt:lpwstr>BMEIA - III Sektionsassistenz (Sektionsassistenz III)</vt:lpwstr>
  </property>
  <property name="FSC#COOELAK@1.1001:CreatedAt" pid="65" fmtid="{D5CDD505-2E9C-101B-9397-08002B2CF9AE}">
    <vt:lpwstr>28.03.2014</vt:lpwstr>
  </property>
  <property name="FSC#COOELAK@1.1001:OU" pid="66" fmtid="{D5CDD505-2E9C-101B-9397-08002B2CF9AE}">
    <vt:lpwstr>BMEIA - III (Sektion)</vt:lpwstr>
  </property>
  <property name="FSC#COOELAK@1.1001:Priority" pid="67" fmtid="{D5CDD505-2E9C-101B-9397-08002B2CF9AE}">
    <vt:lpwstr> ()</vt:lpwstr>
  </property>
  <property name="FSC#COOELAK@1.1001:ObjBarCode" pid="68" fmtid="{D5CDD505-2E9C-101B-9397-08002B2CF9AE}">
    <vt:lpwstr>*COO.3000.112.15.2635117*</vt:lpwstr>
  </property>
  <property name="FSC#COOELAK@1.1001:RefBarCode" pid="69" fmtid="{D5CDD505-2E9C-101B-9397-08002B2CF9AE}">
    <vt:lpwstr/>
  </property>
  <property name="FSC#COOELAK@1.1001:FileRefBarCode" pid="70" fmtid="{D5CDD505-2E9C-101B-9397-08002B2CF9AE}">
    <vt:lpwstr>*BMEIA-EU.3.13.04/0016-III.1/2014*</vt:lpwstr>
  </property>
  <property name="FSC#COOELAK@1.1001:ExternalRef" pid="71" fmtid="{D5CDD505-2E9C-101B-9397-08002B2CF9AE}">
    <vt:lpwstr/>
  </property>
  <property name="FSC#COOELAK@1.1001:IncomingNumber" pid="72" fmtid="{D5CDD505-2E9C-101B-9397-08002B2CF9AE}">
    <vt:lpwstr/>
  </property>
  <property name="FSC#COOELAK@1.1001:IncomingSubject" pid="73" fmtid="{D5CDD505-2E9C-101B-9397-08002B2CF9AE}">
    <vt:lpwstr/>
  </property>
  <property name="FSC#COOELAK@1.1001:ProcessResponsible" pid="74" fmtid="{D5CDD505-2E9C-101B-9397-08002B2CF9AE}">
    <vt:lpwstr>Weinmann Rupert, Mag.</vt:lpwstr>
  </property>
  <property name="FSC#COOELAK@1.1001:ProcessResponsiblePhone" pid="75" fmtid="{D5CDD505-2E9C-101B-9397-08002B2CF9AE}">
    <vt:lpwstr>3923</vt:lpwstr>
  </property>
  <property name="FSC#COOELAK@1.1001:ProcessResponsibleMail" pid="76" fmtid="{D5CDD505-2E9C-101B-9397-08002B2CF9AE}">
    <vt:lpwstr>rupert.weinmann@bmeia.gv.at</vt:lpwstr>
  </property>
  <property name="FSC#COOELAK@1.1001:ProcessResponsibleFax" pid="77" fmtid="{D5CDD505-2E9C-101B-9397-08002B2CF9AE}">
    <vt:lpwstr>3923</vt:lpwstr>
  </property>
  <property name="FSC#COOELAK@1.1001:ApproverFirstName" pid="78" fmtid="{D5CDD505-2E9C-101B-9397-08002B2CF9AE}">
    <vt:lpwstr/>
  </property>
  <property name="FSC#COOELAK@1.1001:ApproverSurName" pid="79" fmtid="{D5CDD505-2E9C-101B-9397-08002B2CF9AE}">
    <vt:lpwstr/>
  </property>
  <property name="FSC#COOELAK@1.1001:ApproverTitle" pid="80" fmtid="{D5CDD505-2E9C-101B-9397-08002B2CF9AE}">
    <vt:lpwstr/>
  </property>
  <property name="FSC#COOELAK@1.1001:ExternalDate" pid="81" fmtid="{D5CDD505-2E9C-101B-9397-08002B2CF9AE}">
    <vt:lpwstr/>
  </property>
  <property name="FSC#COOELAK@1.1001:SettlementApprovedAt" pid="82" fmtid="{D5CDD505-2E9C-101B-9397-08002B2CF9AE}">
    <vt:lpwstr/>
  </property>
  <property name="FSC#COOELAK@1.1001:BaseNumber" pid="83" fmtid="{D5CDD505-2E9C-101B-9397-08002B2CF9AE}">
    <vt:lpwstr/>
  </property>
  <property name="FSC#COOELAK@1.1001:CurrentUserRolePos" pid="84" fmtid="{D5CDD505-2E9C-101B-9397-08002B2CF9AE}">
    <vt:lpwstr>Sachbearbeiter/in</vt:lpwstr>
  </property>
  <property name="FSC#COOELAK@1.1001:CurrentUserEmail" pid="85" fmtid="{D5CDD505-2E9C-101B-9397-08002B2CF9AE}">
    <vt:lpwstr>gerrit.seidl@bmeia.gv.at</vt:lpwstr>
  </property>
  <property name="FSC#ELAKGOV@1.1001:PersonalSubjGender" pid="86" fmtid="{D5CDD505-2E9C-101B-9397-08002B2CF9AE}">
    <vt:lpwstr/>
  </property>
  <property name="FSC#ELAKGOV@1.1001:PersonalSubjFirstName" pid="87" fmtid="{D5CDD505-2E9C-101B-9397-08002B2CF9AE}">
    <vt:lpwstr/>
  </property>
  <property name="FSC#ELAKGOV@1.1001:PersonalSubjSurName" pid="88" fmtid="{D5CDD505-2E9C-101B-9397-08002B2CF9AE}">
    <vt:lpwstr/>
  </property>
  <property name="FSC#ELAKGOV@1.1001:PersonalSubjSalutation" pid="89" fmtid="{D5CDD505-2E9C-101B-9397-08002B2CF9AE}">
    <vt:lpwstr/>
  </property>
  <property name="FSC#ELAKGOV@1.1001:PersonalSubjAddress" pid="90" fmtid="{D5CDD505-2E9C-101B-9397-08002B2CF9AE}">
    <vt:lpwstr/>
  </property>
  <property name="FSC#ATSTATECFG@1.1001:Office" pid="91" fmtid="{D5CDD505-2E9C-101B-9397-08002B2CF9AE}">
    <vt:lpwstr/>
  </property>
  <property name="FSC#ATSTATECFG@1.1001:Agent" pid="92" fmtid="{D5CDD505-2E9C-101B-9397-08002B2CF9AE}">
    <vt:lpwstr/>
  </property>
  <property name="FSC#ATSTATECFG@1.1001:AgentPhone" pid="93" fmtid="{D5CDD505-2E9C-101B-9397-08002B2CF9AE}">
    <vt:lpwstr/>
  </property>
  <property name="FSC#ATSTATECFG@1.1001:DepartmentFax" pid="94" fmtid="{D5CDD505-2E9C-101B-9397-08002B2CF9AE}">
    <vt:lpwstr/>
  </property>
  <property name="FSC#ATSTATECFG@1.1001:DepartmentEmail" pid="95" fmtid="{D5CDD505-2E9C-101B-9397-08002B2CF9AE}">
    <vt:lpwstr/>
  </property>
  <property name="FSC#ATSTATECFG@1.1001:SubfileDate" pid="96" fmtid="{D5CDD505-2E9C-101B-9397-08002B2CF9AE}">
    <vt:lpwstr/>
  </property>
  <property name="FSC#ATSTATECFG@1.1001:SubfileSubject" pid="97" fmtid="{D5CDD505-2E9C-101B-9397-08002B2CF9AE}">
    <vt:lpwstr/>
  </property>
  <property name="FSC#ATSTATECFG@1.1001:DepartmentZipCode" pid="98" fmtid="{D5CDD505-2E9C-101B-9397-08002B2CF9AE}">
    <vt:lpwstr/>
  </property>
  <property name="FSC#ATSTATECFG@1.1001:DepartmentCountry" pid="99" fmtid="{D5CDD505-2E9C-101B-9397-08002B2CF9AE}">
    <vt:lpwstr/>
  </property>
  <property name="FSC#ATSTATECFG@1.1001:DepartmentCity" pid="100" fmtid="{D5CDD505-2E9C-101B-9397-08002B2CF9AE}">
    <vt:lpwstr/>
  </property>
  <property name="FSC#ATSTATECFG@1.1001:DepartmentStreet" pid="101" fmtid="{D5CDD505-2E9C-101B-9397-08002B2CF9AE}">
    <vt:lpwstr/>
  </property>
  <property name="FSC#ATSTATECFG@1.1001:DepartmentDVR" pid="102" fmtid="{D5CDD505-2E9C-101B-9397-08002B2CF9AE}">
    <vt:lpwstr/>
  </property>
  <property name="FSC#ATSTATECFG@1.1001:DepartmentUID" pid="103" fmtid="{D5CDD505-2E9C-101B-9397-08002B2CF9AE}">
    <vt:lpwstr/>
  </property>
  <property name="FSC#ATSTATECFG@1.1001:SubfileReference" pid="104" fmtid="{D5CDD505-2E9C-101B-9397-08002B2CF9AE}">
    <vt:lpwstr/>
  </property>
  <property name="FSC#ATSTATECFG@1.1001:Clause" pid="105" fmtid="{D5CDD505-2E9C-101B-9397-08002B2CF9AE}">
    <vt:lpwstr/>
  </property>
  <property name="FSC#ATSTATECFG@1.1001:ApprovedSignature" pid="106" fmtid="{D5CDD505-2E9C-101B-9397-08002B2CF9AE}">
    <vt:lpwstr/>
  </property>
  <property name="FSC#ATSTATECFG@1.1001:BankAccount" pid="107" fmtid="{D5CDD505-2E9C-101B-9397-08002B2CF9AE}">
    <vt:lpwstr/>
  </property>
  <property name="FSC#ATSTATECFG@1.1001:BankAccountOwner" pid="108" fmtid="{D5CDD505-2E9C-101B-9397-08002B2CF9AE}">
    <vt:lpwstr/>
  </property>
  <property name="FSC#ATSTATECFG@1.1001:BankInstitute" pid="109" fmtid="{D5CDD505-2E9C-101B-9397-08002B2CF9AE}">
    <vt:lpwstr/>
  </property>
  <property name="FSC#ATSTATECFG@1.1001:BankAccountID" pid="110" fmtid="{D5CDD505-2E9C-101B-9397-08002B2CF9AE}">
    <vt:lpwstr/>
  </property>
  <property name="FSC#ATSTATECFG@1.1001:BankAccountIBAN" pid="111" fmtid="{D5CDD505-2E9C-101B-9397-08002B2CF9AE}">
    <vt:lpwstr/>
  </property>
  <property name="FSC#ATSTATECFG@1.1001:BankAccountBIC" pid="112" fmtid="{D5CDD505-2E9C-101B-9397-08002B2CF9AE}">
    <vt:lpwstr/>
  </property>
  <property name="FSC#ATSTATECFG@1.1001:BankName" pid="113" fmtid="{D5CDD505-2E9C-101B-9397-08002B2CF9AE}">
    <vt:lpwstr/>
  </property>
  <property name="FSC#CCAPRECONFIG@15.1001:AddrAnrede" pid="114" fmtid="{D5CDD505-2E9C-101B-9397-08002B2CF9AE}">
    <vt:lpwstr/>
  </property>
  <property name="FSC#CCAPRECONFIG@15.1001:AddrTitel" pid="115" fmtid="{D5CDD505-2E9C-101B-9397-08002B2CF9AE}">
    <vt:lpwstr/>
  </property>
  <property name="FSC#CCAPRECONFIG@15.1001:AddrNachgestellter_Titel" pid="116" fmtid="{D5CDD505-2E9C-101B-9397-08002B2CF9AE}">
    <vt:lpwstr/>
  </property>
  <property name="FSC#CCAPRECONFIG@15.1001:AddrVorname" pid="117" fmtid="{D5CDD505-2E9C-101B-9397-08002B2CF9AE}">
    <vt:lpwstr/>
  </property>
  <property name="FSC#CCAPRECONFIG@15.1001:AddrNachname" pid="118" fmtid="{D5CDD505-2E9C-101B-9397-08002B2CF9AE}">
    <vt:lpwstr/>
  </property>
  <property name="FSC#CCAPRECONFIG@15.1001:AddrzH" pid="119" fmtid="{D5CDD505-2E9C-101B-9397-08002B2CF9AE}">
    <vt:lpwstr/>
  </property>
  <property name="FSC#CCAPRECONFIG@15.1001:AddrGeschlecht" pid="120" fmtid="{D5CDD505-2E9C-101B-9397-08002B2CF9AE}">
    <vt:lpwstr/>
  </property>
  <property name="FSC#CCAPRECONFIG@15.1001:AddrStrasse" pid="121" fmtid="{D5CDD505-2E9C-101B-9397-08002B2CF9AE}">
    <vt:lpwstr/>
  </property>
  <property name="FSC#CCAPRECONFIG@15.1001:AddrHausnummer" pid="122" fmtid="{D5CDD505-2E9C-101B-9397-08002B2CF9AE}">
    <vt:lpwstr/>
  </property>
  <property name="FSC#CCAPRECONFIG@15.1001:AddrStiege" pid="123" fmtid="{D5CDD505-2E9C-101B-9397-08002B2CF9AE}">
    <vt:lpwstr/>
  </property>
  <property name="FSC#CCAPRECONFIG@15.1001:AddrTuer" pid="124" fmtid="{D5CDD505-2E9C-101B-9397-08002B2CF9AE}">
    <vt:lpwstr/>
  </property>
  <property name="FSC#CCAPRECONFIG@15.1001:AddrPostfach" pid="125" fmtid="{D5CDD505-2E9C-101B-9397-08002B2CF9AE}">
    <vt:lpwstr/>
  </property>
  <property name="FSC#CCAPRECONFIG@15.1001:AddrPostleitzahl" pid="126" fmtid="{D5CDD505-2E9C-101B-9397-08002B2CF9AE}">
    <vt:lpwstr/>
  </property>
  <property name="FSC#CCAPRECONFIG@15.1001:AddrOrt" pid="127" fmtid="{D5CDD505-2E9C-101B-9397-08002B2CF9AE}">
    <vt:lpwstr/>
  </property>
  <property name="FSC#CCAPRECONFIG@15.1001:AddrLand" pid="128" fmtid="{D5CDD505-2E9C-101B-9397-08002B2CF9AE}">
    <vt:lpwstr/>
  </property>
  <property name="FSC#CCAPRECONFIG@15.1001:AddrEmail" pid="129" fmtid="{D5CDD505-2E9C-101B-9397-08002B2CF9AE}">
    <vt:lpwstr/>
  </property>
  <property name="FSC#CCAPRECONFIG@15.1001:AddrAdresse" pid="130" fmtid="{D5CDD505-2E9C-101B-9397-08002B2CF9AE}">
    <vt:lpwstr/>
  </property>
  <property name="FSC#CCAPRECONFIG@15.1001:AddrFax" pid="131" fmtid="{D5CDD505-2E9C-101B-9397-08002B2CF9AE}">
    <vt:lpwstr/>
  </property>
  <property name="FSC#CCAPRECONFIG@15.1001:AddrOrganisationsname" pid="132" fmtid="{D5CDD505-2E9C-101B-9397-08002B2CF9AE}">
    <vt:lpwstr/>
  </property>
  <property name="FSC#CCAPRECONFIG@15.1001:AddrOrganisationskurzname" pid="133" fmtid="{D5CDD505-2E9C-101B-9397-08002B2CF9AE}">
    <vt:lpwstr/>
  </property>
  <property name="FSC#CCAPRECONFIG@15.1001:AddrAbschriftsbemerkung" pid="134" fmtid="{D5CDD505-2E9C-101B-9397-08002B2CF9AE}">
    <vt:lpwstr/>
  </property>
  <property name="FSC#CCAPRECONFIG@15.1001:AddrName_Zeile_2" pid="135" fmtid="{D5CDD505-2E9C-101B-9397-08002B2CF9AE}">
    <vt:lpwstr/>
  </property>
  <property name="FSC#CCAPRECONFIG@15.1001:AddrName_Zeile_3" pid="136" fmtid="{D5CDD505-2E9C-101B-9397-08002B2CF9AE}">
    <vt:lpwstr/>
  </property>
  <property name="FSC#CCAPRECONFIG@15.1001:AddrPostalischeAdresse" pid="137" fmtid="{D5CDD505-2E9C-101B-9397-08002B2CF9AE}">
    <vt:lpwstr/>
  </property>
  <property name="FSC#ATPRECONFIG@1.1001:ChargePreview" pid="138" fmtid="{D5CDD505-2E9C-101B-9397-08002B2CF9AE}">
    <vt:lpwstr/>
  </property>
  <property name="FSC#ATSTATECFG@1.1001:ExternalFile" pid="139" fmtid="{D5CDD505-2E9C-101B-9397-08002B2CF9AE}">
    <vt:lpwstr/>
  </property>
  <property name="FSC#COOSYSTEM@1.1:Container" pid="140" fmtid="{D5CDD505-2E9C-101B-9397-08002B2CF9AE}">
    <vt:lpwstr>COO.3000.112.15.2635117</vt:lpwstr>
  </property>
  <property name="FSC#FSCFOLIO@1.1001:docpropproject" pid="141" fmtid="{D5CDD505-2E9C-101B-9397-08002B2CF9AE}">
    <vt:lpwstr/>
  </property>
</Properties>
</file>